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Избирательная комиссия города Ставрополя </w:t>
      </w:r>
    </w:p>
    <w:p w:rsidR="00A01CE2" w:rsidRDefault="00A01CE2">
      <w:pPr>
        <w:spacing w:line="240" w:lineRule="exact"/>
        <w:jc w:val="center"/>
        <w:rPr>
          <w:b/>
          <w:bCs/>
          <w:sz w:val="28"/>
          <w:szCs w:val="28"/>
        </w:rPr>
      </w:pPr>
    </w:p>
    <w:p w:rsidR="00A01CE2" w:rsidRDefault="00A01CE2">
      <w:pPr>
        <w:jc w:val="center"/>
        <w:rPr>
          <w:b/>
          <w:sz w:val="28"/>
          <w:szCs w:val="28"/>
        </w:rPr>
      </w:pPr>
    </w:p>
    <w:p w:rsidR="00A01CE2" w:rsidRDefault="00A01CE2">
      <w:pPr>
        <w:pStyle w:val="BodyText3"/>
        <w:rPr>
          <w:bCs/>
          <w:sz w:val="40"/>
          <w:szCs w:val="40"/>
        </w:rPr>
      </w:pPr>
      <w:r>
        <w:rPr>
          <w:bCs/>
          <w:sz w:val="40"/>
          <w:szCs w:val="40"/>
        </w:rPr>
        <w:t>ПОСТАНОВЛЕНИЕ</w:t>
      </w:r>
    </w:p>
    <w:p w:rsidR="00A01CE2" w:rsidRDefault="00A01CE2">
      <w:pPr>
        <w:pStyle w:val="BodyText3"/>
        <w:rPr>
          <w:szCs w:val="28"/>
        </w:rPr>
      </w:pPr>
    </w:p>
    <w:p w:rsidR="00A01CE2" w:rsidRDefault="00A01CE2">
      <w:pPr>
        <w:pStyle w:val="BodyText3"/>
        <w:rPr>
          <w:szCs w:val="28"/>
        </w:rPr>
      </w:pPr>
    </w:p>
    <w:p w:rsidR="00EA3C27" w:rsidRDefault="00A2500D" w:rsidP="00EA3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60A63">
        <w:rPr>
          <w:sz w:val="28"/>
          <w:szCs w:val="28"/>
        </w:rPr>
        <w:t>13</w:t>
      </w:r>
      <w:r>
        <w:rPr>
          <w:sz w:val="28"/>
          <w:szCs w:val="28"/>
        </w:rPr>
        <w:t xml:space="preserve"> сентября</w:t>
      </w:r>
      <w:r w:rsidR="00EA3C27">
        <w:rPr>
          <w:sz w:val="28"/>
          <w:szCs w:val="28"/>
        </w:rPr>
        <w:t xml:space="preserve"> 20</w:t>
      </w:r>
      <w:r w:rsidR="00887A25">
        <w:rPr>
          <w:sz w:val="28"/>
          <w:szCs w:val="28"/>
        </w:rPr>
        <w:t>21</w:t>
      </w:r>
      <w:r w:rsidR="00EA3C27">
        <w:rPr>
          <w:sz w:val="28"/>
          <w:szCs w:val="28"/>
        </w:rPr>
        <w:t xml:space="preserve"> года                                      </w:t>
      </w:r>
      <w:r w:rsidR="00285815">
        <w:rPr>
          <w:sz w:val="28"/>
          <w:szCs w:val="28"/>
        </w:rPr>
        <w:t xml:space="preserve">  </w:t>
      </w:r>
      <w:r w:rsidR="00A60A63">
        <w:rPr>
          <w:sz w:val="28"/>
          <w:szCs w:val="28"/>
        </w:rPr>
        <w:t xml:space="preserve">           </w:t>
      </w:r>
      <w:r w:rsidR="004439C8">
        <w:rPr>
          <w:sz w:val="28"/>
          <w:szCs w:val="28"/>
        </w:rPr>
        <w:t xml:space="preserve"> </w:t>
      </w:r>
      <w:r w:rsidR="004439C8">
        <w:rPr>
          <w:sz w:val="28"/>
          <w:szCs w:val="28"/>
        </w:rPr>
        <w:tab/>
      </w:r>
      <w:r w:rsidR="004439C8">
        <w:rPr>
          <w:sz w:val="28"/>
          <w:szCs w:val="28"/>
        </w:rPr>
        <w:tab/>
      </w:r>
      <w:r w:rsidR="004439C8">
        <w:rPr>
          <w:sz w:val="28"/>
          <w:szCs w:val="28"/>
        </w:rPr>
        <w:tab/>
        <w:t xml:space="preserve">      № </w:t>
      </w:r>
      <w:r w:rsidR="00A60A63">
        <w:rPr>
          <w:sz w:val="28"/>
          <w:szCs w:val="28"/>
        </w:rPr>
        <w:t>42/109</w:t>
      </w:r>
      <w:r>
        <w:rPr>
          <w:sz w:val="28"/>
          <w:szCs w:val="28"/>
        </w:rPr>
        <w:t xml:space="preserve"> </w:t>
      </w:r>
    </w:p>
    <w:p w:rsidR="00A01CE2" w:rsidRDefault="00A01CE2">
      <w:pPr>
        <w:jc w:val="center"/>
        <w:rPr>
          <w:vertAlign w:val="superscript"/>
        </w:rPr>
      </w:pPr>
      <w:r>
        <w:rPr>
          <w:vertAlign w:val="superscript"/>
        </w:rPr>
        <w:t>г. Ставрополь</w:t>
      </w:r>
    </w:p>
    <w:p w:rsidR="00A01CE2" w:rsidRDefault="00A01CE2">
      <w:pPr>
        <w:pStyle w:val="1"/>
        <w:spacing w:line="240" w:lineRule="exact"/>
        <w:rPr>
          <w:b w:val="0"/>
          <w:bCs/>
        </w:rPr>
      </w:pPr>
    </w:p>
    <w:p w:rsidR="00285815" w:rsidRDefault="00285815" w:rsidP="00285815"/>
    <w:p w:rsidR="009F6668" w:rsidRPr="009F6668" w:rsidRDefault="00465300" w:rsidP="009F6668">
      <w:pPr>
        <w:pStyle w:val="1"/>
        <w:spacing w:line="240" w:lineRule="exact"/>
        <w:rPr>
          <w:b w:val="0"/>
          <w:bCs/>
        </w:rPr>
      </w:pPr>
      <w:proofErr w:type="gramStart"/>
      <w:r>
        <w:rPr>
          <w:b w:val="0"/>
          <w:bCs/>
        </w:rPr>
        <w:t xml:space="preserve">О дополнительном выделении средств местного бюджета на подготовку и проведение </w:t>
      </w:r>
      <w:r w:rsidRPr="00040DD6">
        <w:rPr>
          <w:b w:val="0"/>
          <w:szCs w:val="28"/>
        </w:rPr>
        <w:t xml:space="preserve">выборов депутатов Ставропольской городской Думы </w:t>
      </w:r>
      <w:r>
        <w:rPr>
          <w:b w:val="0"/>
          <w:szCs w:val="28"/>
        </w:rPr>
        <w:t>восьмого созыва нижестоящим избирательным комиссиям и о</w:t>
      </w:r>
      <w:r w:rsidR="009F6668" w:rsidRPr="009F6668">
        <w:rPr>
          <w:b w:val="0"/>
          <w:bCs/>
        </w:rPr>
        <w:t xml:space="preserve"> внесении изменений в </w:t>
      </w:r>
      <w:r w:rsidRPr="009F6668">
        <w:rPr>
          <w:b w:val="0"/>
          <w:bCs/>
        </w:rPr>
        <w:t xml:space="preserve">постановление избирательной комиссии </w:t>
      </w:r>
      <w:r>
        <w:rPr>
          <w:b w:val="0"/>
          <w:bCs/>
        </w:rPr>
        <w:t>города Ставрополя</w:t>
      </w:r>
      <w:r w:rsidRPr="009F6668">
        <w:rPr>
          <w:b w:val="0"/>
          <w:bCs/>
        </w:rPr>
        <w:t xml:space="preserve"> </w:t>
      </w:r>
      <w:r w:rsidR="00A60A63">
        <w:rPr>
          <w:b w:val="0"/>
          <w:bCs/>
        </w:rPr>
        <w:t xml:space="preserve">                  </w:t>
      </w:r>
      <w:r w:rsidRPr="009F6668">
        <w:rPr>
          <w:b w:val="0"/>
          <w:bCs/>
        </w:rPr>
        <w:t>от</w:t>
      </w:r>
      <w:r>
        <w:rPr>
          <w:b w:val="0"/>
          <w:bCs/>
        </w:rPr>
        <w:t> 10 июля 2021</w:t>
      </w:r>
      <w:r w:rsidRPr="009F6668">
        <w:rPr>
          <w:b w:val="0"/>
          <w:bCs/>
        </w:rPr>
        <w:t xml:space="preserve"> года № </w:t>
      </w:r>
      <w:r>
        <w:rPr>
          <w:b w:val="0"/>
          <w:bCs/>
        </w:rPr>
        <w:t>19</w:t>
      </w:r>
      <w:r w:rsidRPr="009F6668">
        <w:rPr>
          <w:b w:val="0"/>
          <w:bCs/>
        </w:rPr>
        <w:t>/</w:t>
      </w:r>
      <w:r>
        <w:rPr>
          <w:b w:val="0"/>
          <w:bCs/>
        </w:rPr>
        <w:t>42</w:t>
      </w:r>
      <w:r w:rsidR="00AA258D">
        <w:rPr>
          <w:b w:val="0"/>
          <w:bCs/>
        </w:rPr>
        <w:t xml:space="preserve"> «О </w:t>
      </w:r>
      <w:r w:rsidR="00887A25">
        <w:rPr>
          <w:b w:val="0"/>
          <w:bCs/>
        </w:rPr>
        <w:t>распределени</w:t>
      </w:r>
      <w:r w:rsidR="00AA258D">
        <w:rPr>
          <w:b w:val="0"/>
          <w:bCs/>
        </w:rPr>
        <w:t>и</w:t>
      </w:r>
      <w:r w:rsidR="00887A25">
        <w:rPr>
          <w:b w:val="0"/>
          <w:bCs/>
        </w:rPr>
        <w:t xml:space="preserve"> средств местного бюджета на подготовку и проведение </w:t>
      </w:r>
      <w:r w:rsidR="00887A25" w:rsidRPr="00040DD6">
        <w:rPr>
          <w:b w:val="0"/>
          <w:szCs w:val="28"/>
        </w:rPr>
        <w:t xml:space="preserve">выборов депутатов Ставропольской городской Думы </w:t>
      </w:r>
      <w:r w:rsidR="00887A25">
        <w:rPr>
          <w:b w:val="0"/>
          <w:szCs w:val="28"/>
        </w:rPr>
        <w:t xml:space="preserve">восьмого созыва </w:t>
      </w:r>
      <w:r w:rsidR="00887A25">
        <w:rPr>
          <w:b w:val="0"/>
          <w:bCs/>
        </w:rPr>
        <w:t>для нижестоящих избирательных комиссий</w:t>
      </w:r>
      <w:r w:rsidR="00AA258D">
        <w:rPr>
          <w:b w:val="0"/>
          <w:bCs/>
        </w:rPr>
        <w:t>»</w:t>
      </w:r>
      <w:proofErr w:type="gramEnd"/>
    </w:p>
    <w:p w:rsidR="00A01CE2" w:rsidRDefault="00A01CE2">
      <w:pPr>
        <w:rPr>
          <w:rFonts w:ascii="Times New Roman CYR" w:hAnsi="Times New Roman CYR"/>
          <w:bCs/>
          <w:sz w:val="20"/>
        </w:rPr>
      </w:pPr>
    </w:p>
    <w:p w:rsidR="00285815" w:rsidRDefault="00285815">
      <w:pPr>
        <w:rPr>
          <w:rFonts w:ascii="Times New Roman CYR" w:hAnsi="Times New Roman CYR"/>
          <w:bCs/>
          <w:sz w:val="20"/>
        </w:rPr>
      </w:pPr>
    </w:p>
    <w:p w:rsidR="00A01CE2" w:rsidRPr="00F53168" w:rsidRDefault="00887A25" w:rsidP="00285815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На основании пункта 11 статьи 4 Закона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040DD6">
        <w:rPr>
          <w:rFonts w:ascii="Times New Roman" w:hAnsi="Times New Roman" w:cs="Times New Roman"/>
          <w:b w:val="0"/>
          <w:sz w:val="28"/>
          <w:szCs w:val="28"/>
        </w:rPr>
        <w:t>от 19 ноября 2003 года № 42-кз «О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системе</w:t>
      </w:r>
      <w:r w:rsidRPr="00040DD6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комиссиях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Ставропольском крае», в соответствии с постановлением избирательной комиссии Ставропольского края 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от 10 июня 2014 года № 110/1127-5 «Об Инс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рукции о порядке открытия и ведения счетов, учета и отчетности, перечисл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ния денежных средств, выделенных из местного бюджета избирательной к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о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миссии, организующей выборы, другим</w:t>
      </w:r>
      <w:proofErr w:type="gramEnd"/>
      <w:r w:rsidRPr="0028581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285815">
        <w:rPr>
          <w:rFonts w:ascii="Times New Roman" w:hAnsi="Times New Roman" w:cs="Times New Roman"/>
          <w:b w:val="0"/>
          <w:sz w:val="28"/>
          <w:szCs w:val="28"/>
        </w:rPr>
        <w:t>избирательным комиссиям, комисс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ям референдума на подготовку и проведение выборов в органы местного с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>моуправления в Ставропольском крае и местного референдума»</w:t>
      </w:r>
      <w:r>
        <w:rPr>
          <w:rFonts w:ascii="Times New Roman" w:hAnsi="Times New Roman" w:cs="Times New Roman"/>
          <w:b w:val="0"/>
          <w:sz w:val="28"/>
          <w:szCs w:val="28"/>
        </w:rPr>
        <w:t>, постановлением и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бирательной комиссии города Ставрополя от 10</w:t>
      </w:r>
      <w:r w:rsidRPr="004439C8">
        <w:rPr>
          <w:rFonts w:ascii="Times New Roman" w:hAnsi="Times New Roman" w:cs="Times New Roman"/>
          <w:b w:val="0"/>
          <w:sz w:val="28"/>
          <w:szCs w:val="28"/>
        </w:rPr>
        <w:t xml:space="preserve"> июля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4439C8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Pr="004439C8">
        <w:rPr>
          <w:rFonts w:ascii="Times New Roman" w:hAnsi="Times New Roman" w:cs="Times New Roman"/>
          <w:b w:val="0"/>
          <w:sz w:val="28"/>
          <w:szCs w:val="28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>41</w:t>
      </w:r>
      <w:r w:rsidRPr="003C6CA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85815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методики распределения и </w:t>
      </w:r>
      <w:r w:rsidRPr="00D12E18">
        <w:rPr>
          <w:rFonts w:ascii="Times New Roman" w:hAnsi="Times New Roman" w:cs="Times New Roman"/>
          <w:b w:val="0"/>
          <w:sz w:val="28"/>
          <w:szCs w:val="28"/>
        </w:rPr>
        <w:t>расходования средств местного бюджета, выделенных избирательным комиссиям на подготовку и проведение выборов депутатов Ставропольской городской Думы восьмого созыва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A60A63" w:rsidRPr="00A60A63">
        <w:rPr>
          <w:sz w:val="28"/>
          <w:szCs w:val="28"/>
        </w:rPr>
        <w:t xml:space="preserve"> </w:t>
      </w:r>
      <w:r w:rsidR="00A60A63" w:rsidRPr="00A60A63">
        <w:rPr>
          <w:rFonts w:ascii="Times New Roman" w:hAnsi="Times New Roman" w:cs="Times New Roman"/>
          <w:b w:val="0"/>
          <w:sz w:val="28"/>
          <w:szCs w:val="28"/>
        </w:rPr>
        <w:t>(в ред. постановления избирательной комиссии города</w:t>
      </w:r>
      <w:proofErr w:type="gramEnd"/>
      <w:r w:rsidR="00A60A63" w:rsidRPr="00A60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A60A63" w:rsidRPr="00A60A63">
        <w:rPr>
          <w:rFonts w:ascii="Times New Roman" w:hAnsi="Times New Roman" w:cs="Times New Roman"/>
          <w:b w:val="0"/>
          <w:sz w:val="28"/>
          <w:szCs w:val="28"/>
        </w:rPr>
        <w:t>Ставрополя от 13 сентября 2021 года № 42/107), постановлением избирательной комиссии города Ставрополя от 13 сентября 2021 года № 42/104 «Об определении избирательных участков, на информационных стендах которых будут размещены материалы, выполненные крупным шрифтом и для которых будут изготовлены специальные трафареты для самостоятельного заполнения бюллетеня на выборах депутатов Ставропольской городской Думы восьмого созыва, назначенных на 19 сентября 2021 года»</w:t>
      </w:r>
      <w:r w:rsidRPr="00A60A63">
        <w:rPr>
          <w:rFonts w:ascii="Times New Roman" w:hAnsi="Times New Roman" w:cs="Times New Roman"/>
          <w:b w:val="0"/>
          <w:sz w:val="28"/>
          <w:szCs w:val="28"/>
        </w:rPr>
        <w:t>,</w:t>
      </w:r>
      <w:r w:rsidR="00F5316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BAE" w:rsidRPr="00052478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proofErr w:type="gramEnd"/>
      <w:r w:rsidR="00A81BAE" w:rsidRPr="00052478">
        <w:rPr>
          <w:rFonts w:ascii="Times New Roman" w:hAnsi="Times New Roman" w:cs="Times New Roman"/>
          <w:b w:val="0"/>
          <w:sz w:val="28"/>
          <w:szCs w:val="28"/>
        </w:rPr>
        <w:t xml:space="preserve"> избирательной комиссии города Ставрополя </w:t>
      </w:r>
      <w:r w:rsidR="00A81BAE" w:rsidRPr="00A60A6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052478" w:rsidRPr="00A60A63">
        <w:rPr>
          <w:rFonts w:ascii="Times New Roman" w:hAnsi="Times New Roman" w:cs="Times New Roman"/>
          <w:b w:val="0"/>
          <w:sz w:val="28"/>
          <w:szCs w:val="28"/>
        </w:rPr>
        <w:t>1</w:t>
      </w:r>
      <w:r w:rsidR="00D27AB1" w:rsidRPr="00A60A63">
        <w:rPr>
          <w:rFonts w:ascii="Times New Roman" w:hAnsi="Times New Roman" w:cs="Times New Roman"/>
          <w:b w:val="0"/>
          <w:sz w:val="28"/>
          <w:szCs w:val="28"/>
        </w:rPr>
        <w:t>3</w:t>
      </w:r>
      <w:r w:rsidR="00A81BAE" w:rsidRPr="00A60A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7AB1" w:rsidRPr="00A60A63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A81BAE" w:rsidRPr="00A60A63">
        <w:rPr>
          <w:rFonts w:ascii="Times New Roman" w:hAnsi="Times New Roman" w:cs="Times New Roman"/>
          <w:b w:val="0"/>
          <w:sz w:val="28"/>
          <w:szCs w:val="28"/>
        </w:rPr>
        <w:t xml:space="preserve"> 2021 года № </w:t>
      </w:r>
      <w:r w:rsidR="00A60A63" w:rsidRPr="00A60A63">
        <w:rPr>
          <w:rFonts w:ascii="Times New Roman" w:hAnsi="Times New Roman" w:cs="Times New Roman"/>
          <w:b w:val="0"/>
          <w:sz w:val="28"/>
          <w:szCs w:val="28"/>
        </w:rPr>
        <w:t>42/108</w:t>
      </w:r>
      <w:r w:rsidR="00F53168" w:rsidRPr="0005247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53168" w:rsidRPr="000524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 оплате расходов на подготовку и проведение </w:t>
      </w:r>
      <w:r w:rsidR="00F53168" w:rsidRPr="00052478">
        <w:rPr>
          <w:rFonts w:ascii="Times New Roman" w:hAnsi="Times New Roman" w:cs="Times New Roman"/>
          <w:b w:val="0"/>
          <w:sz w:val="28"/>
          <w:szCs w:val="28"/>
        </w:rPr>
        <w:t>выборов депутатов Ставропольской городской Думы восьмого созыва за</w:t>
      </w:r>
      <w:r w:rsidR="00F53168" w:rsidRPr="00F53168">
        <w:rPr>
          <w:rFonts w:ascii="Times New Roman" w:hAnsi="Times New Roman" w:cs="Times New Roman"/>
          <w:b w:val="0"/>
          <w:sz w:val="28"/>
          <w:szCs w:val="28"/>
        </w:rPr>
        <w:t xml:space="preserve"> нижестоящие избирательные комиссии»</w:t>
      </w:r>
      <w:r w:rsidRPr="00F5316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F53168">
        <w:rPr>
          <w:rFonts w:ascii="Times New Roman" w:hAnsi="Times New Roman" w:cs="Times New Roman"/>
          <w:b w:val="0"/>
          <w:sz w:val="28"/>
          <w:szCs w:val="28"/>
        </w:rPr>
        <w:t>избирательная</w:t>
      </w:r>
      <w:proofErr w:type="gramEnd"/>
      <w:r w:rsidRPr="00F53168">
        <w:rPr>
          <w:rFonts w:ascii="Times New Roman" w:hAnsi="Times New Roman" w:cs="Times New Roman"/>
          <w:b w:val="0"/>
          <w:sz w:val="28"/>
          <w:szCs w:val="28"/>
        </w:rPr>
        <w:t xml:space="preserve"> комиссия города Ставр</w:t>
      </w:r>
      <w:r w:rsidRPr="00F53168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53168">
        <w:rPr>
          <w:rFonts w:ascii="Times New Roman" w:hAnsi="Times New Roman" w:cs="Times New Roman"/>
          <w:b w:val="0"/>
          <w:sz w:val="28"/>
          <w:szCs w:val="28"/>
        </w:rPr>
        <w:t>поля</w:t>
      </w:r>
    </w:p>
    <w:p w:rsidR="00A01CE2" w:rsidRDefault="00A01CE2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60A63" w:rsidRDefault="00A60A63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60A63" w:rsidRDefault="00A60A63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60A63" w:rsidRDefault="00A60A63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60A63" w:rsidRPr="00285815" w:rsidRDefault="00A60A63">
      <w:pPr>
        <w:pStyle w:val="a4"/>
        <w:spacing w:line="280" w:lineRule="exact"/>
        <w:rPr>
          <w:rFonts w:ascii="Times New Roman CYR" w:hAnsi="Times New Roman CYR"/>
          <w:bCs/>
          <w:szCs w:val="28"/>
        </w:rPr>
      </w:pPr>
    </w:p>
    <w:p w:rsidR="00A01CE2" w:rsidRDefault="00A01CE2">
      <w:pPr>
        <w:pStyle w:val="a4"/>
        <w:rPr>
          <w:rFonts w:ascii="Times New Roman CYR" w:hAnsi="Times New Roman CYR"/>
          <w:bCs/>
          <w:szCs w:val="24"/>
        </w:rPr>
      </w:pPr>
      <w:r>
        <w:rPr>
          <w:rFonts w:ascii="Times New Roman CYR" w:hAnsi="Times New Roman CYR"/>
          <w:bCs/>
          <w:szCs w:val="24"/>
        </w:rPr>
        <w:lastRenderedPageBreak/>
        <w:t>ПОСТАНОВЛЯЕТ:</w:t>
      </w:r>
    </w:p>
    <w:p w:rsidR="00A01CE2" w:rsidRPr="00285815" w:rsidRDefault="00A01CE2">
      <w:pPr>
        <w:pStyle w:val="a4"/>
        <w:rPr>
          <w:rFonts w:ascii="Times New Roman CYR" w:hAnsi="Times New Roman CYR"/>
          <w:bCs/>
          <w:szCs w:val="28"/>
        </w:rPr>
      </w:pPr>
    </w:p>
    <w:p w:rsidR="00AA258D" w:rsidRPr="009D2701" w:rsidRDefault="00A01CE2" w:rsidP="00812763">
      <w:pPr>
        <w:ind w:firstLine="709"/>
        <w:jc w:val="both"/>
        <w:rPr>
          <w:bCs/>
          <w:color w:val="000000"/>
          <w:sz w:val="28"/>
          <w:szCs w:val="28"/>
        </w:rPr>
      </w:pPr>
      <w:r w:rsidRPr="002B35B6">
        <w:rPr>
          <w:sz w:val="28"/>
          <w:szCs w:val="28"/>
        </w:rPr>
        <w:t>1.</w:t>
      </w:r>
      <w:r w:rsidR="00812763" w:rsidRPr="002B35B6">
        <w:rPr>
          <w:sz w:val="28"/>
          <w:szCs w:val="28"/>
        </w:rPr>
        <w:t> </w:t>
      </w:r>
      <w:r w:rsidR="00AA258D">
        <w:rPr>
          <w:sz w:val="28"/>
          <w:szCs w:val="28"/>
        </w:rPr>
        <w:t xml:space="preserve">Утвердить дополнительное выделение средств местного бюджета </w:t>
      </w:r>
      <w:r w:rsidR="00AA258D" w:rsidRPr="002B35B6">
        <w:rPr>
          <w:bCs/>
          <w:sz w:val="28"/>
          <w:szCs w:val="28"/>
        </w:rPr>
        <w:t xml:space="preserve">на подготовку и проведение </w:t>
      </w:r>
      <w:r w:rsidR="00AA258D" w:rsidRPr="002B35B6">
        <w:rPr>
          <w:sz w:val="28"/>
          <w:szCs w:val="28"/>
        </w:rPr>
        <w:t xml:space="preserve">выборов депутатов Ставропольской городской Думы </w:t>
      </w:r>
      <w:r w:rsidR="00AA258D" w:rsidRPr="00887A25">
        <w:rPr>
          <w:sz w:val="28"/>
          <w:szCs w:val="28"/>
        </w:rPr>
        <w:t>восьмого</w:t>
      </w:r>
      <w:r w:rsidR="00AA258D" w:rsidRPr="002B35B6">
        <w:rPr>
          <w:sz w:val="28"/>
          <w:szCs w:val="28"/>
        </w:rPr>
        <w:t xml:space="preserve"> созыва </w:t>
      </w:r>
      <w:r w:rsidR="00AA258D" w:rsidRPr="002B35B6">
        <w:rPr>
          <w:bCs/>
          <w:sz w:val="28"/>
          <w:szCs w:val="28"/>
        </w:rPr>
        <w:t>для нижестоящих избирательных комиссий</w:t>
      </w:r>
      <w:r w:rsidR="00AA258D">
        <w:rPr>
          <w:bCs/>
          <w:sz w:val="28"/>
          <w:szCs w:val="28"/>
        </w:rPr>
        <w:t xml:space="preserve"> согласно </w:t>
      </w:r>
      <w:r w:rsidR="00AA258D" w:rsidRPr="009D2701">
        <w:rPr>
          <w:bCs/>
          <w:color w:val="000000"/>
          <w:sz w:val="28"/>
          <w:szCs w:val="28"/>
        </w:rPr>
        <w:t>приложению</w:t>
      </w:r>
      <w:r w:rsidR="00E95B16">
        <w:rPr>
          <w:bCs/>
          <w:color w:val="000000"/>
          <w:sz w:val="28"/>
          <w:szCs w:val="28"/>
        </w:rPr>
        <w:t xml:space="preserve"> </w:t>
      </w:r>
      <w:r w:rsidR="00AA258D" w:rsidRPr="009D2701">
        <w:rPr>
          <w:bCs/>
          <w:color w:val="000000"/>
          <w:sz w:val="28"/>
          <w:szCs w:val="28"/>
        </w:rPr>
        <w:t>к настоящему постановлению.</w:t>
      </w:r>
    </w:p>
    <w:p w:rsidR="00AA258D" w:rsidRPr="00A60A63" w:rsidRDefault="00AA258D" w:rsidP="00812763">
      <w:pPr>
        <w:ind w:firstLine="709"/>
        <w:jc w:val="both"/>
        <w:rPr>
          <w:bCs/>
          <w:sz w:val="28"/>
          <w:szCs w:val="28"/>
        </w:rPr>
      </w:pPr>
      <w:r w:rsidRPr="00A60A63">
        <w:rPr>
          <w:sz w:val="28"/>
          <w:szCs w:val="28"/>
        </w:rPr>
        <w:t xml:space="preserve">2. </w:t>
      </w:r>
      <w:proofErr w:type="gramStart"/>
      <w:r w:rsidRPr="00A60A63">
        <w:rPr>
          <w:sz w:val="28"/>
          <w:szCs w:val="28"/>
        </w:rPr>
        <w:t xml:space="preserve">Осуществить выделение дополнительных средств местного бюджета </w:t>
      </w:r>
      <w:r w:rsidRPr="00A60A63">
        <w:rPr>
          <w:bCs/>
          <w:sz w:val="28"/>
          <w:szCs w:val="28"/>
        </w:rPr>
        <w:t xml:space="preserve">на подготовку и проведение </w:t>
      </w:r>
      <w:r w:rsidRPr="00A60A63">
        <w:rPr>
          <w:sz w:val="28"/>
          <w:szCs w:val="28"/>
        </w:rPr>
        <w:t xml:space="preserve">выборов депутатов Ставропольской городской Думы восьмого созыва </w:t>
      </w:r>
      <w:r w:rsidRPr="00A60A63">
        <w:rPr>
          <w:bCs/>
          <w:sz w:val="28"/>
          <w:szCs w:val="28"/>
        </w:rPr>
        <w:t xml:space="preserve">для нижестоящих избирательных комиссий за счет средств, предусмотренных в разделе </w:t>
      </w:r>
      <w:r w:rsidRPr="00A60A63">
        <w:rPr>
          <w:bCs/>
          <w:sz w:val="28"/>
          <w:szCs w:val="28"/>
          <w:lang w:val="en-US"/>
        </w:rPr>
        <w:t>II</w:t>
      </w:r>
      <w:r w:rsidRPr="00A60A63">
        <w:rPr>
          <w:bCs/>
          <w:sz w:val="28"/>
          <w:szCs w:val="28"/>
        </w:rPr>
        <w:t xml:space="preserve"> приложения к постановлению избирательной комиссии города Ставрополя от 10 июля 2021 года № 19/42 «О распределении средств местного бюджета на подготовку и проведение </w:t>
      </w:r>
      <w:r w:rsidRPr="00A60A63">
        <w:rPr>
          <w:sz w:val="28"/>
          <w:szCs w:val="28"/>
        </w:rPr>
        <w:t xml:space="preserve">выборов депутатов Ставропольской городской Думы восьмого созыва </w:t>
      </w:r>
      <w:r w:rsidRPr="00A60A63">
        <w:rPr>
          <w:bCs/>
          <w:sz w:val="28"/>
          <w:szCs w:val="28"/>
        </w:rPr>
        <w:t>для нижестоящих</w:t>
      </w:r>
      <w:proofErr w:type="gramEnd"/>
      <w:r w:rsidRPr="00A60A63">
        <w:rPr>
          <w:bCs/>
          <w:sz w:val="28"/>
          <w:szCs w:val="28"/>
        </w:rPr>
        <w:t xml:space="preserve"> избирательных комиссий».</w:t>
      </w:r>
    </w:p>
    <w:p w:rsidR="00AA258D" w:rsidRDefault="00AA258D" w:rsidP="0081276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1F5891" w:rsidRPr="002B35B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</w:t>
      </w:r>
      <w:r w:rsidRPr="00AA258D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е</w:t>
      </w:r>
      <w:r w:rsidRPr="00AA258D">
        <w:rPr>
          <w:bCs/>
          <w:sz w:val="28"/>
          <w:szCs w:val="28"/>
        </w:rPr>
        <w:t xml:space="preserve"> избирательной комиссии города Ставрополя от 10 июля 2021 года № 19/42 «О распределении средств местного бюджета на подготовку и проведение </w:t>
      </w:r>
      <w:r w:rsidRPr="00AA258D">
        <w:rPr>
          <w:sz w:val="28"/>
          <w:szCs w:val="28"/>
        </w:rPr>
        <w:t xml:space="preserve">выборов депутатов Ставропольской городской Думы восьмого созыва </w:t>
      </w:r>
      <w:r w:rsidRPr="00AA258D">
        <w:rPr>
          <w:bCs/>
          <w:sz w:val="28"/>
          <w:szCs w:val="28"/>
        </w:rPr>
        <w:t>для нижестоящих избирательных комиссий»</w:t>
      </w:r>
      <w:r>
        <w:rPr>
          <w:bCs/>
          <w:sz w:val="28"/>
          <w:szCs w:val="28"/>
        </w:rPr>
        <w:t xml:space="preserve"> следующие изменения:</w:t>
      </w:r>
    </w:p>
    <w:p w:rsidR="00AA258D" w:rsidRDefault="00AA258D" w:rsidP="0081276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AA258D">
        <w:rPr>
          <w:bCs/>
          <w:sz w:val="28"/>
          <w:szCs w:val="28"/>
          <w:lang w:val="en-US"/>
        </w:rPr>
        <w:t>II</w:t>
      </w:r>
      <w:r w:rsidRPr="00AA258D">
        <w:rPr>
          <w:bCs/>
          <w:sz w:val="28"/>
          <w:szCs w:val="28"/>
        </w:rPr>
        <w:t xml:space="preserve"> приложения к постановлению избирательной комиссии города Ставрополя от 10 июля 2021 года № 19/42 «О распределении средств местного бюджета на подготовку и проведение </w:t>
      </w:r>
      <w:r w:rsidRPr="00AA258D">
        <w:rPr>
          <w:sz w:val="28"/>
          <w:szCs w:val="28"/>
        </w:rPr>
        <w:t xml:space="preserve">выборов депутатов Ставропольской городской Думы восьмого созыва </w:t>
      </w:r>
      <w:r w:rsidRPr="00AA258D">
        <w:rPr>
          <w:bCs/>
          <w:sz w:val="28"/>
          <w:szCs w:val="28"/>
        </w:rPr>
        <w:t>для нижестоящих избирательных комиссий»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052478" w:rsidRDefault="00052478" w:rsidP="00812763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  <w:gridCol w:w="1417"/>
        <w:gridCol w:w="1524"/>
      </w:tblGrid>
      <w:tr w:rsidR="00052478" w:rsidRPr="00B433B1" w:rsidTr="008E299D">
        <w:tc>
          <w:tcPr>
            <w:tcW w:w="6629" w:type="dxa"/>
          </w:tcPr>
          <w:p w:rsidR="00052478" w:rsidRPr="00B433B1" w:rsidRDefault="00052478" w:rsidP="008E299D">
            <w:pPr>
              <w:widowControl w:val="0"/>
              <w:spacing w:after="120"/>
              <w:jc w:val="center"/>
              <w:rPr>
                <w:b/>
                <w:sz w:val="26"/>
                <w:szCs w:val="26"/>
              </w:rPr>
            </w:pPr>
            <w:r w:rsidRPr="00B433B1">
              <w:rPr>
                <w:b/>
                <w:sz w:val="26"/>
                <w:szCs w:val="26"/>
              </w:rPr>
              <w:t xml:space="preserve">Раздел </w:t>
            </w:r>
            <w:r w:rsidRPr="00B433B1">
              <w:rPr>
                <w:b/>
                <w:sz w:val="26"/>
                <w:szCs w:val="26"/>
                <w:lang w:val="en-US"/>
              </w:rPr>
              <w:t>II</w:t>
            </w:r>
          </w:p>
        </w:tc>
        <w:tc>
          <w:tcPr>
            <w:tcW w:w="1417" w:type="dxa"/>
          </w:tcPr>
          <w:p w:rsidR="00052478" w:rsidRPr="00B433B1" w:rsidRDefault="00052478" w:rsidP="008E299D">
            <w:pPr>
              <w:widowControl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24" w:type="dxa"/>
          </w:tcPr>
          <w:p w:rsidR="00052478" w:rsidRPr="00B433B1" w:rsidRDefault="00052478" w:rsidP="008E299D">
            <w:pPr>
              <w:widowControl w:val="0"/>
              <w:spacing w:after="120"/>
              <w:jc w:val="center"/>
              <w:rPr>
                <w:b/>
                <w:sz w:val="26"/>
                <w:szCs w:val="26"/>
              </w:rPr>
            </w:pPr>
          </w:p>
        </w:tc>
      </w:tr>
      <w:tr w:rsidR="00052478" w:rsidRPr="00B433B1" w:rsidTr="008E299D">
        <w:tc>
          <w:tcPr>
            <w:tcW w:w="6629" w:type="dxa"/>
          </w:tcPr>
          <w:p w:rsidR="00052478" w:rsidRPr="00B433B1" w:rsidRDefault="00052478" w:rsidP="008E299D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Средства на оплату расходов на подготовку и проведение выборов за нижестоящие избир</w:t>
            </w:r>
            <w:r w:rsidRPr="00B433B1">
              <w:rPr>
                <w:sz w:val="26"/>
                <w:szCs w:val="26"/>
              </w:rPr>
              <w:t>а</w:t>
            </w:r>
            <w:r w:rsidRPr="00B433B1">
              <w:rPr>
                <w:sz w:val="26"/>
                <w:szCs w:val="26"/>
              </w:rPr>
              <w:t>тельные комиссии и на финансирование их н</w:t>
            </w:r>
            <w:r w:rsidRPr="00B433B1">
              <w:rPr>
                <w:sz w:val="26"/>
                <w:szCs w:val="26"/>
              </w:rPr>
              <w:t>е</w:t>
            </w:r>
            <w:r w:rsidRPr="00B433B1">
              <w:rPr>
                <w:sz w:val="26"/>
                <w:szCs w:val="26"/>
              </w:rPr>
              <w:t>предвиденных расходов</w:t>
            </w:r>
          </w:p>
        </w:tc>
        <w:tc>
          <w:tcPr>
            <w:tcW w:w="1417" w:type="dxa"/>
          </w:tcPr>
          <w:p w:rsidR="00052478" w:rsidRPr="00F72589" w:rsidRDefault="00052478" w:rsidP="008E299D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052478" w:rsidRPr="00F72589" w:rsidRDefault="00052478" w:rsidP="008E299D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052478" w:rsidRPr="00F72589" w:rsidRDefault="00D27AB1" w:rsidP="008E299D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1513,41</w:t>
            </w:r>
          </w:p>
        </w:tc>
        <w:tc>
          <w:tcPr>
            <w:tcW w:w="1524" w:type="dxa"/>
          </w:tcPr>
          <w:p w:rsidR="00052478" w:rsidRPr="00F72589" w:rsidRDefault="00052478" w:rsidP="008E299D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052478" w:rsidRPr="00F72589" w:rsidRDefault="00052478" w:rsidP="008E299D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052478" w:rsidRPr="00F72589" w:rsidRDefault="00D27AB1" w:rsidP="008E299D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857,22</w:t>
            </w:r>
          </w:p>
        </w:tc>
      </w:tr>
    </w:tbl>
    <w:p w:rsidR="00AA258D" w:rsidRDefault="00AA258D" w:rsidP="00812763">
      <w:pPr>
        <w:ind w:firstLine="709"/>
        <w:jc w:val="both"/>
        <w:rPr>
          <w:sz w:val="28"/>
          <w:szCs w:val="28"/>
        </w:rPr>
      </w:pPr>
    </w:p>
    <w:p w:rsidR="00285815" w:rsidRPr="00812763" w:rsidRDefault="00052478" w:rsidP="00285815">
      <w:pPr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285815" w:rsidRPr="00812763">
        <w:rPr>
          <w:sz w:val="28"/>
        </w:rPr>
        <w:t>.</w:t>
      </w:r>
      <w:r w:rsidR="00812763">
        <w:rPr>
          <w:sz w:val="28"/>
        </w:rPr>
        <w:t> </w:t>
      </w:r>
      <w:r w:rsidR="00285815" w:rsidRPr="00812763">
        <w:rPr>
          <w:sz w:val="28"/>
          <w:szCs w:val="28"/>
        </w:rPr>
        <w:t xml:space="preserve">Направить настоящее постановление в </w:t>
      </w:r>
      <w:r w:rsidR="00812763" w:rsidRPr="00812763">
        <w:rPr>
          <w:sz w:val="28"/>
          <w:szCs w:val="28"/>
        </w:rPr>
        <w:t>территориальн</w:t>
      </w:r>
      <w:r w:rsidR="00D27AB1">
        <w:rPr>
          <w:sz w:val="28"/>
          <w:szCs w:val="28"/>
        </w:rPr>
        <w:t>ую</w:t>
      </w:r>
      <w:r w:rsidR="00812763" w:rsidRPr="00812763">
        <w:rPr>
          <w:sz w:val="28"/>
          <w:szCs w:val="28"/>
        </w:rPr>
        <w:t xml:space="preserve"> избирательн</w:t>
      </w:r>
      <w:r w:rsidR="00D27AB1">
        <w:rPr>
          <w:sz w:val="28"/>
          <w:szCs w:val="28"/>
        </w:rPr>
        <w:t>ую</w:t>
      </w:r>
      <w:r w:rsidR="00812763" w:rsidRPr="00812763">
        <w:rPr>
          <w:sz w:val="28"/>
          <w:szCs w:val="28"/>
        </w:rPr>
        <w:t xml:space="preserve"> комисси</w:t>
      </w:r>
      <w:r w:rsidR="00D27AB1">
        <w:rPr>
          <w:sz w:val="28"/>
          <w:szCs w:val="28"/>
        </w:rPr>
        <w:t>ю Промышленного района</w:t>
      </w:r>
      <w:r w:rsidR="00812763" w:rsidRPr="00812763">
        <w:rPr>
          <w:sz w:val="28"/>
          <w:szCs w:val="28"/>
        </w:rPr>
        <w:t xml:space="preserve"> города Ставрополя</w:t>
      </w:r>
      <w:r w:rsidR="00285815" w:rsidRPr="00812763">
        <w:rPr>
          <w:sz w:val="28"/>
          <w:szCs w:val="28"/>
        </w:rPr>
        <w:t xml:space="preserve"> для руков</w:t>
      </w:r>
      <w:r w:rsidR="00285815" w:rsidRPr="00812763">
        <w:rPr>
          <w:sz w:val="28"/>
          <w:szCs w:val="28"/>
        </w:rPr>
        <w:t>о</w:t>
      </w:r>
      <w:r w:rsidR="00285815" w:rsidRPr="00812763">
        <w:rPr>
          <w:sz w:val="28"/>
          <w:szCs w:val="28"/>
        </w:rPr>
        <w:t>дства в работе.</w:t>
      </w:r>
    </w:p>
    <w:p w:rsidR="00A01CE2" w:rsidRDefault="00052478" w:rsidP="00285815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="00285815" w:rsidRPr="00FD6DD2">
        <w:rPr>
          <w:sz w:val="28"/>
          <w:szCs w:val="28"/>
        </w:rPr>
        <w:t>. </w:t>
      </w:r>
      <w:proofErr w:type="gramStart"/>
      <w:r w:rsidR="00285815" w:rsidRPr="00FD6DD2">
        <w:rPr>
          <w:sz w:val="28"/>
          <w:szCs w:val="28"/>
        </w:rPr>
        <w:t>Разместить</w:t>
      </w:r>
      <w:proofErr w:type="gramEnd"/>
      <w:r w:rsidR="00285815" w:rsidRPr="00FD6DD2">
        <w:rPr>
          <w:sz w:val="28"/>
          <w:szCs w:val="28"/>
        </w:rPr>
        <w:t xml:space="preserve"> настоящее постановление на сайте Ставропольской г</w:t>
      </w:r>
      <w:r w:rsidR="00285815" w:rsidRPr="00FD6DD2">
        <w:rPr>
          <w:sz w:val="28"/>
          <w:szCs w:val="28"/>
        </w:rPr>
        <w:t>о</w:t>
      </w:r>
      <w:r w:rsidR="00285815" w:rsidRPr="00FD6DD2">
        <w:rPr>
          <w:sz w:val="28"/>
          <w:szCs w:val="28"/>
        </w:rPr>
        <w:t xml:space="preserve">родской Думы </w:t>
      </w:r>
      <w:r w:rsidR="00285815" w:rsidRPr="00FD6DD2">
        <w:rPr>
          <w:bCs/>
          <w:sz w:val="28"/>
          <w:szCs w:val="28"/>
        </w:rPr>
        <w:t>в информационно - телекоммуникационной сети «Интернет»</w:t>
      </w:r>
      <w:r w:rsidR="00285815" w:rsidRPr="00FD6DD2">
        <w:rPr>
          <w:sz w:val="28"/>
          <w:szCs w:val="28"/>
        </w:rPr>
        <w:t>.</w:t>
      </w:r>
    </w:p>
    <w:p w:rsidR="00A01CE2" w:rsidRDefault="00A01CE2" w:rsidP="007A11D2">
      <w:pPr>
        <w:jc w:val="both"/>
        <w:rPr>
          <w:sz w:val="28"/>
        </w:rPr>
      </w:pPr>
    </w:p>
    <w:p w:rsidR="00285815" w:rsidRDefault="00285815" w:rsidP="007A11D2">
      <w:pPr>
        <w:jc w:val="both"/>
        <w:rPr>
          <w:sz w:val="28"/>
        </w:rPr>
      </w:pPr>
    </w:p>
    <w:p w:rsidR="00A01CE2" w:rsidRDefault="00A01CE2">
      <w:pPr>
        <w:pStyle w:val="1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                                            </w:t>
      </w:r>
      <w:r>
        <w:rPr>
          <w:b w:val="0"/>
          <w:szCs w:val="28"/>
        </w:rPr>
        <w:tab/>
      </w:r>
      <w:r>
        <w:rPr>
          <w:b w:val="0"/>
          <w:szCs w:val="28"/>
        </w:rPr>
        <w:tab/>
        <w:t xml:space="preserve">                    В.В. Филиппченко</w:t>
      </w:r>
    </w:p>
    <w:p w:rsidR="00A01CE2" w:rsidRPr="00285815" w:rsidRDefault="00A01CE2">
      <w:pPr>
        <w:rPr>
          <w:sz w:val="28"/>
          <w:szCs w:val="28"/>
        </w:rPr>
      </w:pPr>
    </w:p>
    <w:p w:rsidR="007A11D2" w:rsidRPr="00285815" w:rsidRDefault="007A11D2">
      <w:pPr>
        <w:rPr>
          <w:sz w:val="28"/>
          <w:szCs w:val="28"/>
        </w:rPr>
      </w:pPr>
    </w:p>
    <w:p w:rsidR="007A11D2" w:rsidRDefault="00A01CE2" w:rsidP="00285815">
      <w:pPr>
        <w:rPr>
          <w:sz w:val="28"/>
          <w:szCs w:val="28"/>
        </w:rPr>
        <w:sectPr w:rsidR="007A11D2" w:rsidSect="007A11D2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Секретарь</w:t>
      </w:r>
      <w:r w:rsidR="00285815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285815">
        <w:rPr>
          <w:sz w:val="28"/>
          <w:szCs w:val="28"/>
        </w:rPr>
        <w:t>Е.С. Морозова</w:t>
      </w:r>
    </w:p>
    <w:p w:rsidR="007A11D2" w:rsidRDefault="007A11D2" w:rsidP="007A11D2">
      <w:pPr>
        <w:spacing w:line="240" w:lineRule="exact"/>
        <w:ind w:left="5670"/>
        <w:jc w:val="center"/>
      </w:pPr>
      <w:r w:rsidRPr="005E474C">
        <w:lastRenderedPageBreak/>
        <w:t>Приложение</w:t>
      </w:r>
    </w:p>
    <w:p w:rsidR="007A11D2" w:rsidRPr="005E474C" w:rsidRDefault="00887A25" w:rsidP="007A11D2">
      <w:pPr>
        <w:spacing w:line="240" w:lineRule="exact"/>
        <w:ind w:left="5670"/>
        <w:jc w:val="center"/>
      </w:pPr>
      <w:r>
        <w:t xml:space="preserve">к </w:t>
      </w:r>
      <w:r w:rsidR="007A11D2" w:rsidRPr="005E474C">
        <w:t>постановлени</w:t>
      </w:r>
      <w:r>
        <w:t>ю</w:t>
      </w:r>
      <w:r w:rsidR="007A11D2" w:rsidRPr="005E474C">
        <w:t xml:space="preserve"> </w:t>
      </w:r>
      <w:proofErr w:type="gramStart"/>
      <w:r w:rsidR="007A11D2" w:rsidRPr="005E474C">
        <w:t>избирател</w:t>
      </w:r>
      <w:r w:rsidR="007A11D2" w:rsidRPr="005E474C">
        <w:t>ь</w:t>
      </w:r>
      <w:r w:rsidR="007A11D2" w:rsidRPr="005E474C">
        <w:t>ной</w:t>
      </w:r>
      <w:proofErr w:type="gramEnd"/>
    </w:p>
    <w:p w:rsidR="007A11D2" w:rsidRPr="005E474C" w:rsidRDefault="007A11D2" w:rsidP="007A11D2">
      <w:pPr>
        <w:spacing w:line="240" w:lineRule="exact"/>
        <w:ind w:left="5670"/>
        <w:jc w:val="center"/>
      </w:pPr>
      <w:r w:rsidRPr="005E474C">
        <w:t>комиссии города Ставрополя</w:t>
      </w:r>
    </w:p>
    <w:p w:rsidR="007A11D2" w:rsidRDefault="004439C8" w:rsidP="007A11D2">
      <w:pPr>
        <w:ind w:left="5670"/>
        <w:jc w:val="center"/>
      </w:pPr>
      <w:r>
        <w:t xml:space="preserve">от </w:t>
      </w:r>
      <w:r w:rsidR="00052478">
        <w:t>1</w:t>
      </w:r>
      <w:r w:rsidR="00D27AB1">
        <w:t>3</w:t>
      </w:r>
      <w:r w:rsidR="007A11D2" w:rsidRPr="005E474C">
        <w:t>.0</w:t>
      </w:r>
      <w:r w:rsidR="00D27AB1">
        <w:t>9</w:t>
      </w:r>
      <w:r w:rsidR="007A11D2" w:rsidRPr="005E474C">
        <w:t>.20</w:t>
      </w:r>
      <w:r w:rsidR="00887A25">
        <w:t>21</w:t>
      </w:r>
      <w:r w:rsidR="007A11D2" w:rsidRPr="005E474C">
        <w:t xml:space="preserve"> г</w:t>
      </w:r>
      <w:r w:rsidR="008E6BCD">
        <w:t>.</w:t>
      </w:r>
      <w:r>
        <w:t xml:space="preserve"> № </w:t>
      </w:r>
      <w:r w:rsidR="00A60A63">
        <w:t>42/109</w:t>
      </w:r>
    </w:p>
    <w:p w:rsidR="007A11D2" w:rsidRDefault="007A11D2" w:rsidP="007A11D2">
      <w:pPr>
        <w:ind w:left="5529"/>
        <w:jc w:val="center"/>
      </w:pPr>
    </w:p>
    <w:p w:rsidR="00887A25" w:rsidRPr="00B433B1" w:rsidRDefault="00052478" w:rsidP="00887A25">
      <w:pPr>
        <w:spacing w:line="240" w:lineRule="exac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Дополнительное выделение </w:t>
      </w:r>
      <w:r w:rsidR="00887A25" w:rsidRPr="00B433B1">
        <w:rPr>
          <w:b/>
          <w:sz w:val="26"/>
          <w:szCs w:val="26"/>
        </w:rPr>
        <w:t>средств местного бюджета на подготовку и проведение</w:t>
      </w:r>
      <w:r>
        <w:rPr>
          <w:b/>
          <w:sz w:val="26"/>
          <w:szCs w:val="26"/>
        </w:rPr>
        <w:t xml:space="preserve"> </w:t>
      </w:r>
      <w:r w:rsidRPr="00052478">
        <w:rPr>
          <w:b/>
          <w:sz w:val="26"/>
          <w:szCs w:val="26"/>
        </w:rPr>
        <w:t>выборов депутатов Ставропольской городской Думы восьмого созыва для нижестоящих избирательных комиссий</w:t>
      </w:r>
    </w:p>
    <w:p w:rsidR="00887A25" w:rsidRDefault="00887A25" w:rsidP="00887A25">
      <w:pPr>
        <w:rPr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  <w:gridCol w:w="1417"/>
        <w:gridCol w:w="1524"/>
      </w:tblGrid>
      <w:tr w:rsidR="008B4EA4" w:rsidRPr="007A11D2" w:rsidTr="00560874">
        <w:tc>
          <w:tcPr>
            <w:tcW w:w="6629" w:type="dxa"/>
            <w:vAlign w:val="center"/>
          </w:tcPr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Наименование избирательной комиссии, номер участковой избирательной комиссии,</w:t>
            </w:r>
            <w:r>
              <w:t xml:space="preserve"> </w:t>
            </w:r>
            <w:r w:rsidRPr="007A11D2">
              <w:t>вид расходов</w:t>
            </w:r>
          </w:p>
        </w:tc>
        <w:tc>
          <w:tcPr>
            <w:tcW w:w="1417" w:type="dxa"/>
            <w:vAlign w:val="center"/>
          </w:tcPr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Сумма –</w:t>
            </w:r>
          </w:p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всего,</w:t>
            </w:r>
            <w:r>
              <w:t xml:space="preserve"> тыс. </w:t>
            </w:r>
            <w:r w:rsidRPr="007A11D2">
              <w:t>руб.</w:t>
            </w:r>
          </w:p>
        </w:tc>
        <w:tc>
          <w:tcPr>
            <w:tcW w:w="1524" w:type="dxa"/>
            <w:vAlign w:val="center"/>
          </w:tcPr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в том числе для</w:t>
            </w:r>
            <w:r>
              <w:t xml:space="preserve"> </w:t>
            </w:r>
            <w:r w:rsidRPr="007A11D2">
              <w:t>учас</w:t>
            </w:r>
            <w:r w:rsidRPr="007A11D2">
              <w:t>т</w:t>
            </w:r>
            <w:r w:rsidRPr="007A11D2">
              <w:t>ковых</w:t>
            </w:r>
            <w:r>
              <w:t xml:space="preserve"> </w:t>
            </w:r>
            <w:r w:rsidRPr="007A11D2">
              <w:t>изб</w:t>
            </w:r>
            <w:r w:rsidRPr="007A11D2">
              <w:t>и</w:t>
            </w:r>
            <w:r w:rsidRPr="007A11D2">
              <w:t>рательных комиссий</w:t>
            </w:r>
          </w:p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>
              <w:t>(не менее), тыс. </w:t>
            </w:r>
            <w:r w:rsidRPr="007A11D2">
              <w:t>руб.</w:t>
            </w:r>
          </w:p>
        </w:tc>
      </w:tr>
      <w:tr w:rsidR="008B4EA4" w:rsidRPr="007A11D2" w:rsidTr="00560874">
        <w:tc>
          <w:tcPr>
            <w:tcW w:w="6629" w:type="dxa"/>
            <w:vAlign w:val="center"/>
          </w:tcPr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1</w:t>
            </w:r>
          </w:p>
        </w:tc>
        <w:tc>
          <w:tcPr>
            <w:tcW w:w="1417" w:type="dxa"/>
            <w:vAlign w:val="center"/>
          </w:tcPr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2</w:t>
            </w:r>
          </w:p>
        </w:tc>
        <w:tc>
          <w:tcPr>
            <w:tcW w:w="1524" w:type="dxa"/>
            <w:vAlign w:val="center"/>
          </w:tcPr>
          <w:p w:rsidR="008B4EA4" w:rsidRPr="007A11D2" w:rsidRDefault="008B4EA4" w:rsidP="00560874">
            <w:pPr>
              <w:widowControl w:val="0"/>
              <w:spacing w:line="240" w:lineRule="exact"/>
              <w:jc w:val="center"/>
            </w:pPr>
            <w:r w:rsidRPr="007A11D2">
              <w:t>3</w:t>
            </w:r>
          </w:p>
        </w:tc>
      </w:tr>
      <w:tr w:rsidR="008B4EA4" w:rsidRPr="00B433B1" w:rsidTr="00560874">
        <w:trPr>
          <w:trHeight w:val="1266"/>
        </w:trPr>
        <w:tc>
          <w:tcPr>
            <w:tcW w:w="6629" w:type="dxa"/>
          </w:tcPr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 xml:space="preserve">1. </w:t>
            </w:r>
            <w:proofErr w:type="gramStart"/>
            <w:r w:rsidRPr="00B433B1">
              <w:rPr>
                <w:sz w:val="26"/>
                <w:szCs w:val="26"/>
                <w:u w:val="single"/>
              </w:rPr>
              <w:t>Территориальная</w:t>
            </w:r>
            <w:proofErr w:type="gramEnd"/>
            <w:r w:rsidRPr="00B433B1">
              <w:rPr>
                <w:sz w:val="26"/>
                <w:szCs w:val="26"/>
                <w:u w:val="single"/>
              </w:rPr>
              <w:t xml:space="preserve"> избирательная комиссия Ленинского района города Ставрополя</w:t>
            </w:r>
          </w:p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Средства на подготовку и проведение выборов, всего</w:t>
            </w:r>
          </w:p>
          <w:p w:rsidR="008B4EA4" w:rsidRPr="00B433B1" w:rsidRDefault="008B4EA4" w:rsidP="00560874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в том числе</w:t>
            </w:r>
          </w:p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на компенсацию и дополнительную оплату труда</w:t>
            </w:r>
          </w:p>
        </w:tc>
        <w:tc>
          <w:tcPr>
            <w:tcW w:w="1417" w:type="dxa"/>
          </w:tcPr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8B4EA4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D27AB1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24" w:type="dxa"/>
          </w:tcPr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8B4EA4" w:rsidRDefault="008B4EA4" w:rsidP="00110CA9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D27AB1" w:rsidRPr="00B433B1" w:rsidRDefault="00D27AB1" w:rsidP="00110CA9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EA4" w:rsidRPr="00B433B1" w:rsidTr="00560874">
        <w:tc>
          <w:tcPr>
            <w:tcW w:w="6629" w:type="dxa"/>
          </w:tcPr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 xml:space="preserve">2. </w:t>
            </w:r>
            <w:proofErr w:type="gramStart"/>
            <w:r w:rsidRPr="00B433B1">
              <w:rPr>
                <w:sz w:val="26"/>
                <w:szCs w:val="26"/>
                <w:u w:val="single"/>
              </w:rPr>
              <w:t>Территориальная</w:t>
            </w:r>
            <w:proofErr w:type="gramEnd"/>
            <w:r w:rsidRPr="00B433B1">
              <w:rPr>
                <w:sz w:val="26"/>
                <w:szCs w:val="26"/>
                <w:u w:val="single"/>
              </w:rPr>
              <w:t xml:space="preserve"> избирательная комиссия Октябр</w:t>
            </w:r>
            <w:r w:rsidRPr="00B433B1">
              <w:rPr>
                <w:sz w:val="26"/>
                <w:szCs w:val="26"/>
                <w:u w:val="single"/>
              </w:rPr>
              <w:t>ь</w:t>
            </w:r>
            <w:r w:rsidRPr="00B433B1">
              <w:rPr>
                <w:sz w:val="26"/>
                <w:szCs w:val="26"/>
                <w:u w:val="single"/>
              </w:rPr>
              <w:t>ского района города Ставрополя</w:t>
            </w:r>
          </w:p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Средства на подготовку и проведение выборов, всего</w:t>
            </w:r>
          </w:p>
          <w:p w:rsidR="008B4EA4" w:rsidRPr="00B433B1" w:rsidRDefault="008B4EA4" w:rsidP="00560874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в том числе</w:t>
            </w:r>
          </w:p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на компенсацию и дополнительную оплату труда</w:t>
            </w:r>
          </w:p>
        </w:tc>
        <w:tc>
          <w:tcPr>
            <w:tcW w:w="1417" w:type="dxa"/>
          </w:tcPr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8B4EA4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D27AB1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24" w:type="dxa"/>
          </w:tcPr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  <w:p w:rsidR="008B4EA4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D27AB1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EA4" w:rsidRPr="00B433B1" w:rsidTr="00560874">
        <w:tc>
          <w:tcPr>
            <w:tcW w:w="6629" w:type="dxa"/>
          </w:tcPr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 xml:space="preserve">3. </w:t>
            </w:r>
            <w:proofErr w:type="gramStart"/>
            <w:r w:rsidRPr="00B433B1">
              <w:rPr>
                <w:sz w:val="26"/>
                <w:szCs w:val="26"/>
                <w:u w:val="single"/>
              </w:rPr>
              <w:t>Территориальная</w:t>
            </w:r>
            <w:proofErr w:type="gramEnd"/>
            <w:r w:rsidRPr="00B433B1">
              <w:rPr>
                <w:sz w:val="26"/>
                <w:szCs w:val="26"/>
                <w:u w:val="single"/>
              </w:rPr>
              <w:t xml:space="preserve"> избирательная комиссия Промы</w:t>
            </w:r>
            <w:r w:rsidRPr="00B433B1">
              <w:rPr>
                <w:sz w:val="26"/>
                <w:szCs w:val="26"/>
                <w:u w:val="single"/>
              </w:rPr>
              <w:t>ш</w:t>
            </w:r>
            <w:r w:rsidRPr="00B433B1">
              <w:rPr>
                <w:sz w:val="26"/>
                <w:szCs w:val="26"/>
                <w:u w:val="single"/>
              </w:rPr>
              <w:t>ленного района города Ставрополя</w:t>
            </w:r>
          </w:p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Средства на подготовку и проведение выборов, всего</w:t>
            </w:r>
          </w:p>
          <w:p w:rsidR="008B4EA4" w:rsidRPr="00B433B1" w:rsidRDefault="008B4EA4" w:rsidP="00560874">
            <w:pPr>
              <w:widowControl w:val="0"/>
              <w:ind w:firstLine="709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в том числе</w:t>
            </w:r>
          </w:p>
          <w:p w:rsidR="008B4EA4" w:rsidRPr="00B433B1" w:rsidRDefault="008B4EA4" w:rsidP="00560874">
            <w:pPr>
              <w:widowControl w:val="0"/>
              <w:jc w:val="both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на компенсацию и дополнительную оплату труда</w:t>
            </w:r>
          </w:p>
        </w:tc>
        <w:tc>
          <w:tcPr>
            <w:tcW w:w="1417" w:type="dxa"/>
          </w:tcPr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59,52</w:t>
            </w:r>
          </w:p>
          <w:p w:rsidR="008B4EA4" w:rsidRPr="00B433B1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24" w:type="dxa"/>
          </w:tcPr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59,52</w:t>
            </w:r>
          </w:p>
          <w:p w:rsidR="008B4EA4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B4EA4" w:rsidRPr="00B433B1" w:rsidTr="00560874">
        <w:tc>
          <w:tcPr>
            <w:tcW w:w="6629" w:type="dxa"/>
          </w:tcPr>
          <w:p w:rsidR="00052478" w:rsidRDefault="00052478" w:rsidP="00560874">
            <w:pPr>
              <w:widowControl w:val="0"/>
              <w:ind w:left="212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  <w:p w:rsidR="008B4EA4" w:rsidRPr="00B433B1" w:rsidRDefault="008B4EA4" w:rsidP="00560874">
            <w:pPr>
              <w:widowControl w:val="0"/>
              <w:ind w:left="2127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в том числе</w:t>
            </w:r>
          </w:p>
          <w:p w:rsidR="008B4EA4" w:rsidRPr="00B433B1" w:rsidRDefault="008B4EA4" w:rsidP="00560874">
            <w:pPr>
              <w:widowControl w:val="0"/>
              <w:ind w:left="2127"/>
              <w:rPr>
                <w:sz w:val="26"/>
                <w:szCs w:val="26"/>
              </w:rPr>
            </w:pPr>
            <w:r w:rsidRPr="00B433B1">
              <w:rPr>
                <w:sz w:val="26"/>
                <w:szCs w:val="26"/>
              </w:rPr>
              <w:t>на компенсацию и дополнительную оплату труда</w:t>
            </w:r>
          </w:p>
        </w:tc>
        <w:tc>
          <w:tcPr>
            <w:tcW w:w="1417" w:type="dxa"/>
          </w:tcPr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59,52</w:t>
            </w:r>
          </w:p>
          <w:p w:rsidR="008B4EA4" w:rsidRPr="00B433B1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24" w:type="dxa"/>
          </w:tcPr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="00110CA9">
              <w:rPr>
                <w:sz w:val="26"/>
                <w:szCs w:val="26"/>
              </w:rPr>
              <w:t>,52</w:t>
            </w:r>
          </w:p>
          <w:p w:rsidR="008B4EA4" w:rsidRPr="00B433B1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8B4EA4" w:rsidRPr="00B433B1" w:rsidRDefault="008B4EA4" w:rsidP="00560874">
            <w:pPr>
              <w:widowControl w:val="0"/>
              <w:jc w:val="right"/>
              <w:rPr>
                <w:sz w:val="26"/>
                <w:szCs w:val="26"/>
              </w:rPr>
            </w:pPr>
          </w:p>
          <w:p w:rsidR="008B4EA4" w:rsidRPr="00B433B1" w:rsidRDefault="00D27AB1" w:rsidP="00560874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887A25" w:rsidRDefault="00887A25" w:rsidP="00887A25">
      <w:pPr>
        <w:ind w:right="-1"/>
        <w:rPr>
          <w:rFonts w:ascii="Times New Roman CYR" w:hAnsi="Times New Roman CYR"/>
        </w:rPr>
      </w:pPr>
    </w:p>
    <w:p w:rsidR="00A60A63" w:rsidRDefault="00A60A63" w:rsidP="00887A25">
      <w:pPr>
        <w:ind w:right="-1"/>
        <w:rPr>
          <w:rFonts w:ascii="Times New Roman CYR" w:hAnsi="Times New Roman CYR"/>
        </w:rPr>
      </w:pPr>
    </w:p>
    <w:p w:rsidR="00887A25" w:rsidRPr="001D27F9" w:rsidRDefault="00887A25" w:rsidP="00887A25">
      <w:pPr>
        <w:ind w:right="-1"/>
        <w:rPr>
          <w:rFonts w:ascii="Times New Roman CYR" w:hAnsi="Times New Roman CYR"/>
        </w:rPr>
      </w:pPr>
    </w:p>
    <w:p w:rsidR="00887A25" w:rsidRDefault="00887A25" w:rsidP="00887A25">
      <w:pPr>
        <w:ind w:right="-1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Секретарь                                                                                       Е.С. Морозова</w:t>
      </w:r>
    </w:p>
    <w:p w:rsidR="00887A25" w:rsidRDefault="00887A25" w:rsidP="00887A25">
      <w:pPr>
        <w:ind w:right="-1"/>
        <w:rPr>
          <w:rFonts w:ascii="Times New Roman CYR" w:hAnsi="Times New Roman CYR"/>
        </w:rPr>
      </w:pPr>
    </w:p>
    <w:p w:rsidR="00A60A63" w:rsidRDefault="00A60A63" w:rsidP="00887A25">
      <w:pPr>
        <w:ind w:right="-1"/>
        <w:rPr>
          <w:rFonts w:ascii="Times New Roman CYR" w:hAnsi="Times New Roman CYR"/>
        </w:rPr>
      </w:pPr>
    </w:p>
    <w:p w:rsidR="007A11D2" w:rsidRPr="00967776" w:rsidRDefault="00887A25" w:rsidP="00887A25">
      <w:pPr>
        <w:ind w:right="-1"/>
      </w:pPr>
      <w:r>
        <w:rPr>
          <w:rFonts w:ascii="Times New Roman CYR" w:hAnsi="Times New Roman CYR"/>
          <w:sz w:val="28"/>
        </w:rPr>
        <w:t xml:space="preserve">Бухгалтер                                                                                       </w:t>
      </w:r>
      <w:r w:rsidRPr="00AE59E0">
        <w:rPr>
          <w:rFonts w:ascii="Times New Roman CYR" w:hAnsi="Times New Roman CYR"/>
          <w:sz w:val="28"/>
        </w:rPr>
        <w:t>В.А. Иванникова</w:t>
      </w:r>
    </w:p>
    <w:sectPr w:rsidR="007A11D2" w:rsidRPr="00967776" w:rsidSect="007A11D2">
      <w:pgSz w:w="11906" w:h="16838"/>
      <w:pgMar w:top="1135" w:right="851" w:bottom="34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FA" w:rsidRDefault="001843FA" w:rsidP="00285815">
      <w:r>
        <w:separator/>
      </w:r>
    </w:p>
  </w:endnote>
  <w:endnote w:type="continuationSeparator" w:id="0">
    <w:p w:rsidR="001843FA" w:rsidRDefault="001843FA" w:rsidP="00285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FA" w:rsidRDefault="001843FA" w:rsidP="00285815">
      <w:r>
        <w:separator/>
      </w:r>
    </w:p>
  </w:footnote>
  <w:footnote w:type="continuationSeparator" w:id="0">
    <w:p w:rsidR="001843FA" w:rsidRDefault="001843FA" w:rsidP="00285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3F1"/>
    <w:rsid w:val="00052478"/>
    <w:rsid w:val="000D6BC4"/>
    <w:rsid w:val="0010493C"/>
    <w:rsid w:val="00110CA9"/>
    <w:rsid w:val="00112160"/>
    <w:rsid w:val="001843FA"/>
    <w:rsid w:val="00194FF6"/>
    <w:rsid w:val="001D27F9"/>
    <w:rsid w:val="001F5891"/>
    <w:rsid w:val="001F600E"/>
    <w:rsid w:val="002070F8"/>
    <w:rsid w:val="00285815"/>
    <w:rsid w:val="002866FA"/>
    <w:rsid w:val="002B35B6"/>
    <w:rsid w:val="00301D92"/>
    <w:rsid w:val="003072C8"/>
    <w:rsid w:val="0031798F"/>
    <w:rsid w:val="00335640"/>
    <w:rsid w:val="00362871"/>
    <w:rsid w:val="003B0ECF"/>
    <w:rsid w:val="003C0E8F"/>
    <w:rsid w:val="00401380"/>
    <w:rsid w:val="004439C8"/>
    <w:rsid w:val="00462E9F"/>
    <w:rsid w:val="00465300"/>
    <w:rsid w:val="005375D8"/>
    <w:rsid w:val="00546090"/>
    <w:rsid w:val="00560874"/>
    <w:rsid w:val="005625C9"/>
    <w:rsid w:val="005716D3"/>
    <w:rsid w:val="005A7E8A"/>
    <w:rsid w:val="006B63F1"/>
    <w:rsid w:val="00700E16"/>
    <w:rsid w:val="00727C19"/>
    <w:rsid w:val="00754D2B"/>
    <w:rsid w:val="00755FC3"/>
    <w:rsid w:val="0077179D"/>
    <w:rsid w:val="007A11D2"/>
    <w:rsid w:val="007A1BA0"/>
    <w:rsid w:val="007F5552"/>
    <w:rsid w:val="00812763"/>
    <w:rsid w:val="008174D0"/>
    <w:rsid w:val="00865831"/>
    <w:rsid w:val="0087495B"/>
    <w:rsid w:val="008766FB"/>
    <w:rsid w:val="00887A25"/>
    <w:rsid w:val="008A59C9"/>
    <w:rsid w:val="008B4EA4"/>
    <w:rsid w:val="008D0F07"/>
    <w:rsid w:val="008E299D"/>
    <w:rsid w:val="008E6BCD"/>
    <w:rsid w:val="009D2701"/>
    <w:rsid w:val="009D43B6"/>
    <w:rsid w:val="009E58DB"/>
    <w:rsid w:val="009F6668"/>
    <w:rsid w:val="00A01CE2"/>
    <w:rsid w:val="00A11FE6"/>
    <w:rsid w:val="00A2500D"/>
    <w:rsid w:val="00A60A63"/>
    <w:rsid w:val="00A81BAE"/>
    <w:rsid w:val="00A877B7"/>
    <w:rsid w:val="00A92ECC"/>
    <w:rsid w:val="00AA258D"/>
    <w:rsid w:val="00B433B1"/>
    <w:rsid w:val="00B737D6"/>
    <w:rsid w:val="00C950C6"/>
    <w:rsid w:val="00CF42E3"/>
    <w:rsid w:val="00D27AB1"/>
    <w:rsid w:val="00E669D8"/>
    <w:rsid w:val="00E95B16"/>
    <w:rsid w:val="00EA3C27"/>
    <w:rsid w:val="00EA6696"/>
    <w:rsid w:val="00F023B9"/>
    <w:rsid w:val="00F5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 Знак Знак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 Знак Знак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BodyText3">
    <w:name w:val="Body Text 3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a3">
    <w:name w:val="Содерж"/>
    <w:basedOn w:val="a"/>
    <w:pPr>
      <w:widowControl w:val="0"/>
      <w:spacing w:after="120"/>
      <w:jc w:val="center"/>
    </w:pPr>
    <w:rPr>
      <w:sz w:val="28"/>
      <w:szCs w:val="20"/>
    </w:rPr>
  </w:style>
  <w:style w:type="paragraph" w:customStyle="1" w:styleId="a4">
    <w:name w:val="Таб"/>
    <w:basedOn w:val="a5"/>
    <w:pPr>
      <w:tabs>
        <w:tab w:val="clear" w:pos="4677"/>
        <w:tab w:val="clear" w:pos="9355"/>
      </w:tabs>
    </w:pPr>
    <w:rPr>
      <w:sz w:val="28"/>
      <w:szCs w:val="20"/>
    </w:rPr>
  </w:style>
  <w:style w:type="paragraph" w:styleId="a5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 Знак Знак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 Знак Знак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7A11D2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semiHidden/>
    <w:rsid w:val="0028581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A59C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8A59C9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uiPriority w:val="99"/>
    <w:semiHidden/>
    <w:unhideWhenUsed/>
    <w:rsid w:val="009F666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F6668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rsid w:val="009F6668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6668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F6668"/>
    <w:rPr>
      <w:rFonts w:ascii="Times New Roman" w:eastAsia="Times New Roman" w:hAnsi="Times New Roman"/>
      <w:b/>
      <w:bCs/>
    </w:rPr>
  </w:style>
  <w:style w:type="paragraph" w:styleId="af0">
    <w:name w:val="Body Text Indent"/>
    <w:basedOn w:val="a"/>
    <w:link w:val="af1"/>
    <w:semiHidden/>
    <w:rsid w:val="00812763"/>
    <w:pPr>
      <w:spacing w:after="120"/>
      <w:ind w:left="283"/>
      <w:jc w:val="center"/>
    </w:pPr>
    <w:rPr>
      <w:sz w:val="28"/>
      <w:lang/>
    </w:rPr>
  </w:style>
  <w:style w:type="character" w:customStyle="1" w:styleId="af1">
    <w:name w:val="Основной текст с отступом Знак"/>
    <w:link w:val="af0"/>
    <w:semiHidden/>
    <w:rsid w:val="00812763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города Ставрополя</vt:lpstr>
    </vt:vector>
  </TitlesOfParts>
  <Company>Администрация городв Ставрополя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города Ставрополя</dc:title>
  <dc:creator>Анна</dc:creator>
  <cp:lastModifiedBy>Избирательная комиссия г. Ставрополя</cp:lastModifiedBy>
  <cp:revision>2</cp:revision>
  <cp:lastPrinted>2021-09-13T14:44:00Z</cp:lastPrinted>
  <dcterms:created xsi:type="dcterms:W3CDTF">2021-09-14T07:35:00Z</dcterms:created>
  <dcterms:modified xsi:type="dcterms:W3CDTF">2021-09-14T07:35:00Z</dcterms:modified>
</cp:coreProperties>
</file>