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9E20B5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9E20B5" w:rsidP="009E20B5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</w:t>
            </w:r>
            <w:r w:rsidR="00725646" w:rsidRPr="00725646">
              <w:rPr>
                <w:b w:val="0"/>
                <w:szCs w:val="28"/>
              </w:rPr>
              <w:t>/</w:t>
            </w:r>
            <w:r w:rsidR="000C528D">
              <w:rPr>
                <w:b w:val="0"/>
                <w:szCs w:val="28"/>
              </w:rPr>
              <w:t>8</w:t>
            </w:r>
            <w:r w:rsidR="00F61E49">
              <w:rPr>
                <w:b w:val="0"/>
                <w:szCs w:val="28"/>
              </w:rPr>
              <w:t>6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F61E49">
        <w:rPr>
          <w:rFonts w:eastAsia="TimesNewRomanPSMT"/>
          <w:szCs w:val="28"/>
        </w:rPr>
        <w:t>7</w:t>
      </w:r>
      <w:r w:rsidR="009E20B5">
        <w:rPr>
          <w:rFonts w:eastAsia="TimesNewRomanPSMT"/>
          <w:szCs w:val="28"/>
        </w:rPr>
        <w:t xml:space="preserve"> </w:t>
      </w:r>
      <w:r w:rsidR="00F61E49">
        <w:rPr>
          <w:rFonts w:eastAsia="TimesNewRomanPSMT"/>
          <w:szCs w:val="28"/>
        </w:rPr>
        <w:t>Чернову Егору Сергеевичу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F61E49">
        <w:rPr>
          <w:color w:val="000000"/>
          <w:szCs w:val="28"/>
          <w:lang w:bidi="ru-RU"/>
        </w:rPr>
        <w:t>Чернову Егору Сергеевичу</w:t>
      </w:r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F61E49">
        <w:rPr>
          <w:color w:val="000000"/>
          <w:szCs w:val="28"/>
          <w:lang w:bidi="ru-RU"/>
        </w:rPr>
        <w:t>7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E4" w:rsidRDefault="007162E4">
      <w:r>
        <w:separator/>
      </w:r>
    </w:p>
  </w:endnote>
  <w:endnote w:type="continuationSeparator" w:id="0">
    <w:p w:rsidR="007162E4" w:rsidRDefault="00716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E4" w:rsidRDefault="007162E4">
      <w:r>
        <w:separator/>
      </w:r>
    </w:p>
  </w:footnote>
  <w:footnote w:type="continuationSeparator" w:id="0">
    <w:p w:rsidR="007162E4" w:rsidRDefault="00716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0664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0664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A0169"/>
    <w:rsid w:val="000A1C95"/>
    <w:rsid w:val="000C528D"/>
    <w:rsid w:val="00104B0A"/>
    <w:rsid w:val="00114605"/>
    <w:rsid w:val="00155BE1"/>
    <w:rsid w:val="00157823"/>
    <w:rsid w:val="00182AA6"/>
    <w:rsid w:val="001D137F"/>
    <w:rsid w:val="001D178A"/>
    <w:rsid w:val="00205D2E"/>
    <w:rsid w:val="0021363C"/>
    <w:rsid w:val="00244FD7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B9EA0-2F33-4FB7-BFB0-721B9DD1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2021-07-20T16:11:00Z</cp:lastPrinted>
  <dcterms:created xsi:type="dcterms:W3CDTF">2021-07-20T16:44:00Z</dcterms:created>
  <dcterms:modified xsi:type="dcterms:W3CDTF">2021-07-20T16:44:00Z</dcterms:modified>
</cp:coreProperties>
</file>