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Отчет о деятельности депутата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Ставропольской городской Думы С.В. Мосиной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за 2025 год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jc w:val="left"/>
        <w:spacing w:before="0" w:after="0" w:line="283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Представляю вашему вниманию отчет о депутатской деятельности </w:t>
        <w:br/>
        <w:t xml:space="preserve">за 2025 год. Текущий отчетный период является для меня особенным </w:t>
        <w:br/>
        <w:t xml:space="preserve">и знаковым: он объединил в себе работу сразу двух созывов Ставропольской городской Думы — восьмого и девятого.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Сентябрьские выбор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 в городской парламент стали важной вехой в моей профессиональной деятельности. По их итогам мне была доверена честь представлять интересы жителей одномандатного избирательного округа № 18 в Промышленном районе города. Этому событию предшествовали несколь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 лет моей плодотворной работы в качестве депутата в Октябрьском районе.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Таким образом, представленный отчет охватывает широкую географию города Ставрополя.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меня неизменным остается одно — ответственность перед каждым избирателем, вне зависимости от границ округов.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jc w:val="left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Участие в законотворческой и комитетской деятельности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рамках исполнения депутатских полномочий принимала регулярное участие в заседаниях Ставропольской городской Думы и работе профильных подразделений.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VIII созыве моя деятельность была сосредоточе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в двух направлениях: работа в комитете по социальной политике, демографии, делам ветеранов, семьи и детства, а также в комитете по контролю за деятельностью органов и должностных лиц местного самоуправления, организации депутатской деятельности, противо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действию коррупции, этике и регламенту. </w:t>
        <w:tab/>
        <w:t xml:space="preserve">В IX созыве вошла в состав комитета по образованию и культуре. Кроме того, была избрана заместителем председателя комитета по контролю, этике и регламенту, что подразумевает повышенную ответственность за соблюдени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норм антикоррупционной политики и регламента Думы.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Информация о деятельности комитетов и принятых решениях систематически публикуется в открытом доступе на официальном сайте Ставропольской городской Думы.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Приемы граждан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течении всего отчетного периода мною ежемесячно проводились приемы граждан, часть из которых прошли в Штабе общественной поддержки Ставропольского края.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 обращения граждан, адресованные мне как депутату Ставропольской городской Думы, рассмотрены в установленные действующим законодательством сроки в полном объеме. Ряд обращений направлен по компетенции в соответствующие органы с уведомлением заявителя. 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новные вопросы, поднимаемые в обращениях, касались ремонта дорог, благоустройства округа, установки детских площадок, очистки территории от мусора, а также проблематики безнадзорных животных.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Поддержка ветеранов и старшего поколения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Помощь ветеранам Великой Отечественной войны — мой безусловный приоритет и моральный долг. В отчетном периоде мы осознанно сменили формат массовых мероприятий на адресную поддержку: к Новому году, </w:t>
        <w:br/>
        <w:t xml:space="preserve">23 Февраля, 8 Мар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а, Дню пожилого человека и Дню Победы ветеранам округа были лично доставлены подарки и поздравления. Наше взаимодействие не ограничивается датами в календаре — мы находимся в постоянном контакте с героями и их семьями, оказывая необходимую помощь в будни.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Общественная деятельность и социальные инициативы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Отчетный период был ознаменован значимыми юбилейными датами, которые напоминают нам о важности сохранения исторической памяти </w:t>
        <w:br/>
        <w:t xml:space="preserve">и преемственности поколений в нашем городе.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Особое звучание в преддверии Дня Победы обрело 50-летие мемориального комплекса «Холо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дный родник». Память жертв фашизма </w:t>
        <w:br/>
        <w:t xml:space="preserve">и героев войны почтили уникальной музыкально-театрализованной постановкой: под открытым небом в исполнении симфонического оркестра краевой филармонии впервые прозвучали части великой симфонии Дмитрия Шостаковича. Совместн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ое выступление музыкантов и актеров театра им. М. Ю. Лермонтова создало атмосферу глубокого сопереживания, достойную этой великой даты.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Вместе с коллегами депутатами </w:t>
        <w:br/>
        <w:t xml:space="preserve">и председателем городского парламента приняла участие в возложении цветов к мемориалу.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менее важной страницей в культурной жизни города стало 75-летие библиотеки-филиала № 5. Вместе с председателем город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ской Думы Георгием Колягиным и коллегой-депутатом Александром Кочергой мы приняли участие в торжественном мероприятии в МКДЦ «Пионер». Юбилей библиотеки — это праздник не только книг, но и людей, которые десятилетиями хранят интеллектуальное богатство 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рополя. Для меня было большой честью вручить благодарственные письма сотрудникам и самым активным читателям, чья преданность делу просвещения заслуживает самого высокого признания.</w:t>
        <w:br/>
        <w:t xml:space="preserve">Такие юбилейные вехи — это не просто памятные цифры, а фундамент нашей гор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одской идентичности. Мы и впредь будем бережно хранить историю наших мемориалов и поддерживать культурные центры, которые делают наш город духовно богаче.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Символично, что в том же составе мы встретились в стенах этой гостеприимной библиотеки и в преддверии Дня соседей. Формат теплого чаепития стал отличной возможностью для открытого, неформального диалога с жителями Октябрьского района. Мы не только поздрави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ли друг друга с праздником, но и обсудили насущные вопросы благоустройства и развития нашего округа. Такие встречи — от торжественных юбилеев </w:t>
        <w:br/>
        <w:t xml:space="preserve">до душевных посиделок — доказывают, что библиотека сегодня является </w:t>
        <w:br/>
        <w:t xml:space="preserve">не просто хранилищем книг, а живым пространст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вом для общения </w:t>
        <w:br/>
        <w:t xml:space="preserve">и созидания. Мы и впредь будем поддерживать подобные культурные центры, которые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объединяют соседей и делают наш город духовно богаче.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абота о духовном богатстве и укрепление добрососедских связей неразрывно связаны с обеспечением безопасности и здоровья наших жителей. Именно поэтому в октябре отчетного года моя работа на округе была дополнена важной социальной акцией: вместе с коллегами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из городской Думы, специалистами наркологического центра «Рекавери клиник», спортсменами клуба «Виктор-СУОР» и воспитанниками гандбольной школы им. Виктора Лаврова мы вышли на улицы города, чтобы дать решительный отпор распространению рекламы запрещенных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еществ. Эта инициатива стала прямым ответом на многочисленные обращения обеспокоенных жителей моего округа. Несмотря на регулярную работу коммунальных служб, агрессивная реклама, нацеленная на молодежь, продолжает появляться на стенах домов. Стало очевид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но: проблема требует немедленного и активного общественного участия. В ходе совместного рейда нами была проделана большая работа по ликвидации опасных граффити. Возможно, кто-то скажет, что завтра вандалы могут вернуться, но я убеждена: только системное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сопротивление и наше общее неравнодушие способны победить это зло. </w:t>
        <w:br/>
        <w:t xml:space="preserve">Мы не просто очищаем стены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— мы защищаем наших детей и наше будущее.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Наша работа по защите молодежи была бы невозможна без опоры </w:t>
        <w:br/>
        <w:t xml:space="preserve">на традиционные ценности, которые бережно хранят наши мамы.</w:t>
        <w:br/>
        <w:t xml:space="preserve">В преддверии самого теплого и искреннего праздника — Дня матери — Ставропольская городская Дума открыла свои двери для особенных гостей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На торжественном мероприятии мы чествовали активных жительниц нашего города и многодетных мам. Это удивительные женщины, которые не только мудро и самоотверженно растят новое поколение, но и находят силы активно участвовать в обществен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ной жизни своих микрорайонов. Для меня было огро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мной честью лично поздравить жительниц моего округа.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Забота о семьях и сохранение традиционных ценностей получили свое логическое продолжение в череде ярких предновогодних событий. Завершая календарный год, мы постарались подарить атмосферу настоящего чуда самым юным жителям Промышленного района. При моем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частии </w:t>
        <w:br/>
        <w:t xml:space="preserve">и поддержке администрации Промышленного района праздничные мероприятия прошли сразу на двух площадках — на площади 200-летия </w:t>
        <w:br/>
        <w:t xml:space="preserve">и у Дома торговли. Вместе с аниматорами Центра внешкольной работы организовали для детей интерактивные представления с 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астием Деда Мороза и Снегурочки. Игры, танцы и, конечно, сладкие подарки для каждого ребенка наполнили эти дни искренней радостью и верой в сказку.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днако Новый год — это еще и время исполнения глубоко личных, сокровенных желаний. В рамках всероссийской благотворительной акции «Ёлка желаний» в здании городской Думы я встретилась с юной Дарьей. </w:t>
        <w:br/>
        <w:t xml:space="preserve">Её творческая мечта о профессиональной фотосессии исполнил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ась прямо под нашей главной праздничной елью.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283" w:lineRule="atLeast"/>
        <w:suppressLineNumbers w:val="0"/>
      </w:pPr>
      <w:r/>
      <w:r/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Прямая речь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Спасибо за мандат доверия, который вы мне вручили. Минувший отчетный период стал уникальным — он соединил работу в двух созывах городской Думы.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Моя география расширилась: сегодня я представляю Промышленный район, но при этом сохраняю тесную связь с родны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м 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ктябрьским районом где я несколько созывов подряд представляла интересы жителей. </w:t>
        <w:br/>
        <w:t xml:space="preserve">Я убеждена, что границы округов не должны мешать помощи людям. Поэтому я продолжаю поддерживать активных жителей Октябрьского района, с которыми мы вместе прошли большой путь.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Мои двери всегда открыты для вас. Регулярные приемы и ли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чный контроль — это то, на чем строится моя работа. Не все проблемы решаются сразу, но я обещаю: каждый ваш наказ будет услышан. </w:t>
        <w:br/>
        <w:t xml:space="preserve">Благодарю за внимание и надеюсь на наше дальнейшее плодотворное сотрудничество на благо любимого города!»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2026-03-31T11:03:30Z</dcterms:modified>
</cp:coreProperties>
</file>