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48"/>
        <w:tblW w:w="0" w:type="auto"/>
        <w:tblLook w:val="04A0" w:firstRow="1" w:lastRow="0" w:firstColumn="1" w:lastColumn="0" w:noHBand="0" w:noVBand="1"/>
      </w:tblPr>
      <w:tblGrid>
        <w:gridCol w:w="105"/>
        <w:gridCol w:w="6315"/>
        <w:gridCol w:w="2175"/>
        <w:gridCol w:w="2175"/>
        <w:gridCol w:w="2175"/>
      </w:tblGrid>
      <w:tr>
        <w:tblPrEx/>
        <w:trPr>
          <w:trHeight w:val="255"/>
        </w:trPr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68"/>
        </w:trPr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СВЕДЕНИЯ</w:t>
            </w:r>
            <w:r/>
            <w:r/>
          </w:p>
        </w:tc>
      </w:tr>
      <w:tr>
        <w:tblPrEx/>
        <w:trPr>
          <w:trHeight w:val="252"/>
        </w:trPr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об использовании Ставропольской городской Думой выделяемых бюджетных средств</w:t>
            </w:r>
            <w:r/>
            <w:r/>
          </w:p>
        </w:tc>
      </w:tr>
      <w:tr>
        <w:tblPrEx/>
        <w:trPr>
          <w:trHeight w:val="345"/>
        </w:trPr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4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 в 2025 году</w:t>
            </w:r>
            <w:r/>
            <w:r/>
          </w:p>
        </w:tc>
      </w:tr>
      <w:tr>
        <w:tblPrEx/>
        <w:trPr>
          <w:trHeight w:val="22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5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/>
                <w:i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/>
                <w:i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/>
                <w:i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/>
                <w:i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22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5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22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5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85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Наименование показателя</w:t>
            </w:r>
            <w:r/>
            <w:r/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Бюджетные назначения                         на 2025 год</w:t>
            </w:r>
            <w:r/>
            <w:r/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Кассовое исполнение за 2025 год</w:t>
            </w:r>
            <w:r/>
            <w:r/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% исполнения</w:t>
            </w:r>
            <w:r/>
            <w:r/>
          </w:p>
        </w:tc>
      </w:tr>
      <w:tr>
        <w:tblPrEx/>
        <w:trPr>
          <w:trHeight w:val="61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103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5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/>
                <w:i/>
                <w:strike w:val="0"/>
                <w:color w:val="000000"/>
                <w:sz w:val="24"/>
                <w:u w:val="none"/>
                <w:vertAlign w:val="baseline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/>
                <w:i/>
                <w:strike w:val="0"/>
                <w:color w:val="000000"/>
                <w:sz w:val="24"/>
                <w:u w:val="none"/>
                <w:vertAlign w:val="baseline"/>
              </w:rPr>
              <w:t xml:space="preserve">72 232 474,03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/>
                <w:i/>
                <w:strike w:val="0"/>
                <w:color w:val="000000"/>
                <w:sz w:val="24"/>
                <w:u w:val="none"/>
                <w:vertAlign w:val="baseline"/>
              </w:rPr>
              <w:t xml:space="preserve">72 183 393,06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/>
                <w:i/>
                <w:strike w:val="0"/>
                <w:color w:val="000000"/>
                <w:sz w:val="24"/>
                <w:u w:val="none"/>
                <w:vertAlign w:val="baseline"/>
              </w:rPr>
              <w:t xml:space="preserve">99,93%</w:t>
            </w:r>
            <w:r/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5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в том числе: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51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5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Расходы на обеспечение функций органов местного самоуправления города Ставрополя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7 743 259,48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7 694 178,51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99,37%</w:t>
            </w:r>
            <w:r/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5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из них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50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5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Иные выплаты персоналу государственных (муниципальных) органов, за исключением фонда оплаты труда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1 592 473,39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1 592 473,39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100,00%</w:t>
            </w:r>
            <w:r/>
            <w:r/>
          </w:p>
        </w:tc>
      </w:tr>
      <w:tr>
        <w:tblPrEx/>
        <w:trPr>
          <w:trHeight w:val="50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5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Иные выплаты государственных (муниципальных) органов привлекаемым лицам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100,00%</w:t>
            </w:r>
            <w:r/>
            <w:r/>
          </w:p>
        </w:tc>
      </w:tr>
      <w:tr>
        <w:tblPrEx/>
        <w:trPr>
          <w:trHeight w:val="50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5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373 242,53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373 242,53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100,00%</w:t>
            </w:r>
            <w:r/>
            <w:r/>
          </w:p>
        </w:tc>
      </w:tr>
      <w:tr>
        <w:tblPrEx/>
        <w:trPr>
          <w:trHeight w:val="50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5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Прочая закупка товаров, работ и услуг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5 777 043,56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5 727 962,59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99,15%</w:t>
            </w:r>
            <w:r/>
            <w:r/>
          </w:p>
        </w:tc>
      </w:tr>
      <w:tr>
        <w:tblPrEx/>
        <w:trPr>
          <w:trHeight w:val="50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5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Закупка энергетических ресурсов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100,00%</w:t>
            </w:r>
            <w:r/>
            <w:r/>
          </w:p>
        </w:tc>
      </w:tr>
      <w:tr>
        <w:tblPrEx/>
        <w:trPr>
          <w:trHeight w:val="48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5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Уплата налогов, сборов и иных платежей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500,00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500,00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100,00%</w:t>
            </w:r>
            <w:r/>
            <w:r/>
          </w:p>
        </w:tc>
      </w:tr>
      <w:tr>
        <w:tblPrEx/>
        <w:trPr>
          <w:trHeight w:val="52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5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64 489 214,55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64 489 214,55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100,00%</w:t>
            </w:r>
            <w:r/>
            <w:r/>
          </w:p>
        </w:tc>
      </w:tr>
      <w:tr>
        <w:tblPrEx/>
        <w:trPr>
          <w:trHeight w:val="40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5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из них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50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5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Фонд оплаты труда государственных (муниципальных) органов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50 024 590,94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50 024 590,94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100,00%</w:t>
            </w:r>
            <w:r/>
            <w:r/>
          </w:p>
        </w:tc>
      </w:tr>
      <w:tr>
        <w:tblPrEx/>
        <w:trPr>
          <w:trHeight w:val="46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5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14 464 623,61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14 464 623,61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100,00%</w:t>
            </w:r>
            <w:r/>
            <w:r/>
          </w:p>
        </w:tc>
      </w:tr>
      <w:tr>
        <w:tblPrEx/>
        <w:trPr>
          <w:trHeight w:val="52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5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/>
                <w:i/>
                <w:strike w:val="0"/>
                <w:color w:val="000000"/>
                <w:sz w:val="24"/>
                <w:u w:val="none"/>
                <w:vertAlign w:val="baseline"/>
              </w:rPr>
              <w:t xml:space="preserve">Другие общегосударственные вопросы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/>
                <w:i/>
                <w:strike w:val="0"/>
                <w:color w:val="000000"/>
                <w:sz w:val="24"/>
                <w:u w:val="none"/>
                <w:vertAlign w:val="baseline"/>
              </w:rPr>
              <w:t xml:space="preserve">834 223,95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/>
                <w:i/>
                <w:strike w:val="0"/>
                <w:color w:val="000000"/>
                <w:sz w:val="24"/>
                <w:u w:val="none"/>
                <w:vertAlign w:val="baseline"/>
              </w:rPr>
              <w:t xml:space="preserve">834 223,95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/>
                <w:i/>
                <w:strike w:val="0"/>
                <w:color w:val="000000"/>
                <w:sz w:val="24"/>
                <w:u w:val="none"/>
                <w:vertAlign w:val="baseline"/>
              </w:rPr>
              <w:t xml:space="preserve">100,00</w:t>
            </w:r>
            <w:r/>
            <w:r/>
          </w:p>
        </w:tc>
      </w:tr>
      <w:tr>
        <w:tblPrEx/>
        <w:trPr>
          <w:trHeight w:val="52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5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в том числе: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52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5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Поощрение муниципального служащего в связи с выходом на страховую пенсию по старости (инвалидности)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834 223,95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834 223,95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100,00%</w:t>
            </w:r>
            <w:r/>
            <w:r/>
          </w:p>
        </w:tc>
      </w:tr>
      <w:tr>
        <w:tblPrEx/>
        <w:trPr>
          <w:trHeight w:val="52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5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Расходы на выплаты на основании исполнительных листов судебных органов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100,00%</w:t>
            </w:r>
            <w:r/>
            <w:r/>
          </w:p>
        </w:tc>
      </w:tr>
      <w:tr>
        <w:tblPrEx/>
        <w:trPr>
          <w:trHeight w:val="52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5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/>
                <w:i/>
                <w:strike w:val="0"/>
                <w:color w:val="000000"/>
                <w:sz w:val="24"/>
                <w:u w:val="none"/>
                <w:vertAlign w:val="baseline"/>
              </w:rPr>
              <w:t xml:space="preserve">Средства массовой информации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/>
                <w:i/>
                <w:strike w:val="0"/>
                <w:color w:val="000000"/>
                <w:sz w:val="24"/>
                <w:u w:val="none"/>
                <w:vertAlign w:val="baseline"/>
              </w:rPr>
              <w:t xml:space="preserve">2 103 816,67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/>
                <w:i/>
                <w:strike w:val="0"/>
                <w:color w:val="000000"/>
                <w:sz w:val="24"/>
                <w:u w:val="none"/>
                <w:vertAlign w:val="baseline"/>
              </w:rPr>
              <w:t xml:space="preserve">2 103 816,67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/>
                <w:i/>
                <w:strike w:val="0"/>
                <w:color w:val="000000"/>
                <w:sz w:val="24"/>
                <w:u w:val="none"/>
                <w:vertAlign w:val="baseline"/>
              </w:rPr>
              <w:t xml:space="preserve">100,00%</w:t>
            </w:r>
            <w:r/>
            <w:r/>
          </w:p>
        </w:tc>
      </w:tr>
      <w:tr>
        <w:tblPrEx/>
        <w:trPr>
          <w:trHeight w:val="64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5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ИТОГО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75 170 514,65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75 121 433,68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99,94%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5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164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5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Председатель Ставропольской городской Думы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0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Колягин Г.С.</w:t>
            </w:r>
            <w:r/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" w:type="dxa"/>
            <w:vAlign w:val="bottom"/>
            <w:textDirection w:val="lrTb"/>
            <w:noWrap w:val="false"/>
          </w:tcPr>
          <w:p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5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" w:type="dxa"/>
            <w:vAlign w:val="bottom"/>
            <w:textDirection w:val="lrTb"/>
            <w:noWrap w:val="false"/>
          </w:tcPr>
          <w:p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5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" w:type="dxa"/>
            <w:vAlign w:val="bottom"/>
            <w:textDirection w:val="lrTb"/>
            <w:noWrap w:val="false"/>
          </w:tcPr>
          <w:p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5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80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" w:type="dxa"/>
            <w:vAlign w:val="bottom"/>
            <w:textDirection w:val="lrTb"/>
            <w:noWrap w:val="false"/>
          </w:tcPr>
          <w:p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5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Главный бухгалтер Ставропольской городской Думы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0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Иванникова В.А.</w:t>
            </w:r>
            <w:r/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Р7-Офис/2024.4.2.691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1</cp:revision>
  <dcterms:modified xsi:type="dcterms:W3CDTF">2026-06-09T06:58:29Z</dcterms:modified>
</cp:coreProperties>
</file>