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4518128</wp:posOffset>
                </wp:positionH>
                <wp:positionV relativeFrom="paragraph">
                  <wp:posOffset>0</wp:posOffset>
                </wp:positionV>
                <wp:extent cx="1398507" cy="1390779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5252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398506" cy="1390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048;o:allowoverlap:true;o:allowincell:true;mso-position-horizontal-relative:text;margin-left:355.76pt;mso-position-horizontal:absolute;mso-position-vertical-relative:text;margin-top:0.00pt;mso-position-vertical:absolute;width:110.12pt;height:109.51pt;mso-wrap-distance-left:9.07pt;mso-wrap-distance-top:0.00pt;mso-wrap-distance-right:9.07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w:t xml:space="preserve">ОТЧЁТ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о деятельности депутата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Ставропольской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по одномандатному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избирательному округу № 15 (VIII созыв) и 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по единому избирательному округу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(IX созыв)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Перегудова Сергея Алексеевича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-142" w:firstLine="0"/>
        <w:jc w:val="left"/>
        <w:spacing w:after="454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      </w:t>
      </w:r>
      <w:r>
        <w:rPr>
          <w:rFonts w:ascii="Asana Math" w:hAnsi="Asana Math" w:eastAsia="Asana Math" w:cs="Asana Math"/>
          <w:highlight w:val="white"/>
        </w:rPr>
        <w:t xml:space="preserve">(</w:t>
      </w:r>
      <w:r>
        <w:rPr>
          <w:rFonts w:ascii="Asana Math" w:hAnsi="Asana Math" w:eastAsia="Asana Math" w:cs="Asana Math"/>
          <w:b w:val="0"/>
          <w:bCs w:val="0"/>
          <w:sz w:val="22"/>
          <w:szCs w:val="22"/>
          <w:highlight w:val="white"/>
        </w:rPr>
        <w:t xml:space="preserve">https://t.me/sergeyperegudov</w:t>
      </w:r>
      <w:r>
        <w:rPr>
          <w:rFonts w:ascii="Asana Math" w:hAnsi="Asana Math" w:eastAsia="Asana Math" w:cs="Asana Math"/>
          <w:highlight w:val="white"/>
        </w:rPr>
        <w:t xml:space="preserve">)</w:t>
      </w:r>
      <w:r>
        <w:rPr>
          <w:rFonts w:ascii="Asana Math" w:hAnsi="Asana Math" w:eastAsia="Asana Math" w:cs="Asana Math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Настоящий отчет подготовлен мной, Сергеем Алексеевичем Перегудовым, депутатом Ставропольской городской Думы, в соответствии с Регламентом Ставропольской городской Думы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включает в себя информацию о моей 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составе двух созывов VIII и IX, поскольку в отчетном периоде Ставропольская городская Дума VIII созыва,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 июня 2025 года,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применила процедуру самороспуска, в соо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тветствии с Решением от 11 апреля 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 года, а по результатам досрочных выборов Ставропольской городской Думы, прошедших 14 сентября 2025 года, IX созыв приступил к работе в обновленном составе, в который, благодаря доверию избирателей, вошел и я, избравшись по единому избирательному округу.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VIII созыва Ставропольской городской Думы.</w:t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VIII созыва провела 8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97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решений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числе которых: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внесены изменения в п.4 Положения «О флаге города Ставрополя»;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утверждена обновленная схема одномандатных избирательных округов для проведения выборов депутатов Ставропольской городской Думы;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утвержден Порядок назначения и проведения собраний и конференций граждан (собраний делегатов) на территории муниципального образования города Ставрополя Ставропольского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внесены изменения в решение Ставропольской городской Думы «Об утверждении Порядка проведения конкурса по отбору кандидатур на должность главы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избран глава города – тайным голосованием депутаты Ставропольской городской Думы выбрали Ивана Ивановича Ульянченко;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 Положении о Почетном гражданине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несены изменения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муниципальном контроле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вносились изменения в решения Ставропольской городской Думы о бюджете города Ставрополя на 2025 и плановый период 2026 и 2027 годов;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сроки введения туристического налога – с 1 апреля 2025 года;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многодетных семей, имеющих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 и принявшими (принимаю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щими) участие в специальной военной операции,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единовременно выплачивается денежная сумма на приобретение жилого помещения;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членов семей погибших (умерших) участников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предусмотрена выплата в размере 1086 рублей 80 копеек на проезд в общественном транспорте;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~в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категорию лиц, имеющих право приобрести с 50-процентной скидкой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билет длительного пользования на неограниченное количество поездок в троллейбусах и автобусах в течение указанного срока действия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включены инвалиды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многоквартирного дома, пострадавших в результате чрезвычайной ситуации, по адресу: ул. Тухачевского, 30/8,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изменено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Ставропольской городской Думы «Об учреждении комитета труда и социальной защиты населения администрации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Положение о порядке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его текст приведен в соответствие с Градостроительным кодексом РФ;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утверждена новая схема размещения рекламных конструкций – в неё добавлено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 объектов: 8 цифровых билбордов и 20 рекламных конструкций, устанавливаемых на каркасах остановочных павильонов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проектирования и строительства поликлиники в 204 квартале города Ставрополя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предложено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безвозмездно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 из муниципальной собственности города Ставрополя в государственную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собственность Ставропольского края два земельных участка общей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площадью более 30 тыс. кв. 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утвержден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приватизации муниципального имущества города Ставрополя на 2025‒2026 годы;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«Об утверждении Положения о комитете по управлению муниципальным имуществом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изменены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благоустройства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входил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вопросам жилищно-коммунального хозяйства, благоустройства, дорожного хозяйства, транспорта и энергетики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бюджету, экономическому развитию, инвестиционной и  внешнеэкономической деятельности, малому и среднему предпринимательству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вопросам жилищно-коммунального хозяйства, благоустройства, дорожного хозяйства, транспорта и энергетики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Комитетом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бюджету, экономическому развитию, инвестиционной и внешнеэкономической деятельности, малому и среднему предпринимательству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поздравил с 90-летним юбилеем жителя 15-го избирательного округа;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организации празднования масленицы для жителей округа;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поучаствовал в субботниках, проводимых на территории избирательного округа и города;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Дня Победы посетил ветерана Великой Отечественной войны Михаила Даниловича Лагунова и поздравил его с наступающим праздником;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участвовал в памятных мероприятиях, приуроченных к празднованию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Дня Освобождения города Ставрополя от немецко-фашистских захватчиков,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Дня Победы в Великой Отечественной войне. Мемориальных акциях – «Свеча памяти» и «Нет забытых имен», посвященных дню великой скорби – Дню начала Великой Отечественной войны;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торжествах по случаю выпуска 11-го класса школы № 19.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IX созыва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IX созыва провела 5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40 решений.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 октября 2025 года состоялось первое заседание Ставропольской городской Думы IX созыва, на котором были рассмотрены вопросы организации работы и структуры вновь избранного представительного органа.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отчетный период Ставропольской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IX созыва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 заседаниях решались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вопросы,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числе которых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о структуре администрации города Ставрополя;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учрежден комитет по организации транспортного обслуживания населения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изменена Схема размещения нестационарных торговых объектов на территории города – добавлено пять новых адресов расположения НТО;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зменен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нормативы о сборе налогов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территории города Ставрополя – от уплаты налога на один земельный участок освобождаются сотрудники ряда подразделений органов внутренних дел РФ, граждане, выполнявшие задачу по отражению вооруженного вторжения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установлена базовая ставка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1 квадратный метр информационного 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рекламной конструкции. Решением городской Думы она увеличена до 1200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схему расположения рекламных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~для граждан заключивших контракт о прохождении военной службы единовременно выплачивается от 200000 до 500000 рублей в зависимости от срока заключения контракта;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многоквартирных домов, пострадавших в результате чрезвычайных ситуаций, по адресам: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Туапсинская, 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 Дзержинского, 143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вошел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Комитет по образованию и культуре;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- 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делам ветеранов ВОВ, участников СВО и их семей, ветеранов боевых действий, военной службы, казачества и взаимодействию с воинскими подразделениями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образованию и культуре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делам ветеранов ВОВ, участников СВО и их семей, ветеранов боевых действий, военной службы, казачества и взаимодействию с воинскими подразделениями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IX созыве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9" w:bottom="680" w:left="1559" w:header="709" w:footer="1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rFonts w:ascii="Asana Math" w:hAnsi="Asana Math" w:cs="Asana Math"/>
        <w:b/>
        <w:bCs/>
      </w:rPr>
    </w:pPr>
    <w:fldSimple w:instr="PAGE \* MERGEFORMAT">
      <w:r>
        <w:rPr>
          <w:rFonts w:ascii="Asana Math" w:hAnsi="Asana Math" w:eastAsia="Asana Math" w:cs="Asana Math"/>
          <w:b/>
          <w:bCs/>
        </w:rPr>
        <w:t xml:space="preserve">1</w:t>
      </w:r>
    </w:fldSimple>
    <w:r>
      <w:rPr>
        <w:rFonts w:ascii="Asana Math" w:hAnsi="Asana Math" w:eastAsia="Asana Math" w:cs="Asana Math"/>
        <w:b/>
        <w:bCs/>
      </w:rPr>
    </w:r>
    <w:r>
      <w:rPr>
        <w:rFonts w:ascii="Asana Math" w:hAnsi="Asana Math" w:cs="Asana Math"/>
        <w:b/>
        <w:bCs/>
      </w:rPr>
    </w:r>
    <w:r>
      <w:rPr>
        <w:rFonts w:ascii="Asana Math" w:hAnsi="Asana Math" w:cs="Asana Math"/>
        <w:b/>
        <w:bCs/>
      </w:rPr>
    </w:r>
  </w:p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modified xsi:type="dcterms:W3CDTF">2026-03-31T12:57:35Z</dcterms:modified>
</cp:coreProperties>
</file>