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1C" w:rsidRDefault="00D32245" w:rsidP="00A1391C">
      <w:pPr>
        <w:pStyle w:val="11"/>
        <w:spacing w:before="0" w:line="240" w:lineRule="exact"/>
        <w:ind w:left="581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C4F73">
        <w:rPr>
          <w:rFonts w:ascii="Times New Roman" w:hAnsi="Times New Roman"/>
        </w:rPr>
        <w:t xml:space="preserve">    </w:t>
      </w:r>
      <w:r w:rsidR="008B7599">
        <w:rPr>
          <w:rFonts w:ascii="Times New Roman" w:hAnsi="Times New Roman"/>
        </w:rPr>
        <w:t xml:space="preserve">Приложение </w:t>
      </w:r>
      <w:r w:rsidR="003708A5">
        <w:rPr>
          <w:rFonts w:ascii="Times New Roman" w:hAnsi="Times New Roman"/>
        </w:rPr>
        <w:t xml:space="preserve">№ </w:t>
      </w:r>
      <w:r w:rsidR="001D5F4D">
        <w:rPr>
          <w:rFonts w:ascii="Times New Roman" w:hAnsi="Times New Roman"/>
        </w:rPr>
        <w:t>4</w:t>
      </w:r>
      <w:r w:rsidR="00A1391C">
        <w:rPr>
          <w:rFonts w:ascii="Times New Roman" w:hAnsi="Times New Roman"/>
        </w:rPr>
        <w:t xml:space="preserve"> (форма)</w:t>
      </w:r>
    </w:p>
    <w:p w:rsidR="00A1391C" w:rsidRDefault="006C4F73" w:rsidP="00A1391C">
      <w:pPr>
        <w:pStyle w:val="11"/>
        <w:spacing w:before="0" w:line="240" w:lineRule="exact"/>
        <w:ind w:left="581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1391C">
        <w:rPr>
          <w:rFonts w:ascii="Times New Roman" w:hAnsi="Times New Roman"/>
        </w:rPr>
        <w:t>УТВЕРЖДЕНА</w:t>
      </w:r>
    </w:p>
    <w:p w:rsidR="00D32245" w:rsidRDefault="00A1391C" w:rsidP="00A1391C">
      <w:pPr>
        <w:pStyle w:val="11"/>
        <w:spacing w:before="0" w:line="240" w:lineRule="exact"/>
        <w:ind w:left="6237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  <w:proofErr w:type="gramStart"/>
      <w:r w:rsidR="008B7599">
        <w:rPr>
          <w:rFonts w:ascii="Times New Roman" w:hAnsi="Times New Roman"/>
        </w:rPr>
        <w:t>избирательной</w:t>
      </w:r>
      <w:proofErr w:type="gramEnd"/>
    </w:p>
    <w:p w:rsidR="00D32245" w:rsidRDefault="008B7599" w:rsidP="00A1391C">
      <w:pPr>
        <w:pStyle w:val="11"/>
        <w:spacing w:before="0" w:line="240" w:lineRule="exact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комиссии</w:t>
      </w:r>
      <w:r w:rsidR="00D32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города Ставрополя</w:t>
      </w:r>
    </w:p>
    <w:p w:rsidR="008B7599" w:rsidRPr="00595C5E" w:rsidRDefault="008B7599" w:rsidP="00A1391C">
      <w:pPr>
        <w:pStyle w:val="11"/>
        <w:spacing w:before="0" w:line="240" w:lineRule="exact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</w:t>
      </w:r>
      <w:r w:rsidR="003708A5">
        <w:rPr>
          <w:rFonts w:ascii="Times New Roman" w:hAnsi="Times New Roman"/>
        </w:rPr>
        <w:t xml:space="preserve">7 </w:t>
      </w:r>
      <w:r w:rsidR="000F5869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</w:t>
      </w:r>
      <w:r w:rsidR="003708A5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</w:t>
      </w:r>
      <w:r w:rsidR="000F5869">
        <w:rPr>
          <w:rFonts w:ascii="Times New Roman" w:hAnsi="Times New Roman"/>
        </w:rPr>
        <w:t>ода</w:t>
      </w:r>
      <w:r w:rsidR="00D32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3708A5">
        <w:rPr>
          <w:rFonts w:ascii="Times New Roman" w:hAnsi="Times New Roman"/>
        </w:rPr>
        <w:t>35/90</w:t>
      </w:r>
    </w:p>
    <w:p w:rsidR="008B7599" w:rsidRPr="00DB637F" w:rsidRDefault="008B7599" w:rsidP="008B7599">
      <w:pPr>
        <w:pStyle w:val="a3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jc w:val="center"/>
        <w:tblInd w:w="-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198"/>
        <w:gridCol w:w="924"/>
        <w:gridCol w:w="15"/>
        <w:gridCol w:w="1009"/>
        <w:gridCol w:w="462"/>
        <w:gridCol w:w="547"/>
        <w:gridCol w:w="1010"/>
        <w:gridCol w:w="1009"/>
        <w:gridCol w:w="1009"/>
        <w:gridCol w:w="1010"/>
        <w:gridCol w:w="809"/>
        <w:gridCol w:w="200"/>
        <w:gridCol w:w="785"/>
        <w:gridCol w:w="224"/>
        <w:gridCol w:w="905"/>
      </w:tblGrid>
      <w:tr w:rsidR="001D5F4D" w:rsidRPr="00762EC3" w:rsidTr="00BB4B8E">
        <w:trPr>
          <w:trHeight w:hRule="exact" w:val="120"/>
          <w:jc w:val="center"/>
        </w:trPr>
        <w:tc>
          <w:tcPr>
            <w:tcW w:w="1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1D5F4D" w:rsidRPr="00762EC3" w:rsidRDefault="001D5F4D" w:rsidP="00BB4B8E">
            <w:pPr>
              <w:jc w:val="both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  <w:tcBorders>
              <w:left w:val="nil"/>
            </w:tcBorders>
            <w:shd w:val="clear" w:color="auto" w:fill="auto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10" w:type="dxa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10" w:type="dxa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05" w:type="dxa"/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  <w:tr w:rsidR="001D5F4D" w:rsidRPr="00762EC3" w:rsidTr="00845C11">
        <w:tblPrEx>
          <w:tblCellMar>
            <w:left w:w="0" w:type="dxa"/>
            <w:right w:w="0" w:type="dxa"/>
          </w:tblCellMar>
        </w:tblPrEx>
        <w:trPr>
          <w:trHeight w:hRule="exact" w:val="2821"/>
          <w:jc w:val="center"/>
        </w:trPr>
        <w:tc>
          <w:tcPr>
            <w:tcW w:w="198" w:type="dxa"/>
            <w:tcBorders>
              <w:top w:val="nil"/>
              <w:right w:val="nil"/>
            </w:tcBorders>
            <w:shd w:val="clear" w:color="auto" w:fill="auto"/>
          </w:tcPr>
          <w:p w:rsidR="001D5F4D" w:rsidRPr="00762EC3" w:rsidRDefault="001D5F4D" w:rsidP="00BB4B8E">
            <w:pPr>
              <w:outlineLvl w:val="4"/>
              <w:rPr>
                <w:color w:val="0000FF"/>
                <w:sz w:val="20"/>
              </w:rPr>
            </w:pPr>
          </w:p>
        </w:tc>
        <w:tc>
          <w:tcPr>
            <w:tcW w:w="7804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1D5F4D" w:rsidRPr="001D5F4D" w:rsidRDefault="001D5F4D" w:rsidP="00845C11">
            <w:pPr>
              <w:pStyle w:val="1"/>
              <w:spacing w:before="0" w:line="216" w:lineRule="auto"/>
              <w:jc w:val="center"/>
              <w:rPr>
                <w:rFonts w:ascii="Times New Roman" w:hAnsi="Times New Roman"/>
                <w:color w:val="auto"/>
              </w:rPr>
            </w:pPr>
            <w:r w:rsidRPr="001D5F4D">
              <w:rPr>
                <w:rFonts w:ascii="Times New Roman" w:hAnsi="Times New Roman"/>
                <w:color w:val="auto"/>
              </w:rPr>
              <w:t>ИЗБИРАТЕЛЬНЫЙ БЮЛЛЕТЕНЬ</w:t>
            </w:r>
          </w:p>
          <w:p w:rsidR="00E54AC6" w:rsidRDefault="001D5F4D" w:rsidP="00845C11">
            <w:pPr>
              <w:pStyle w:val="BodyText2"/>
              <w:spacing w:line="216" w:lineRule="auto"/>
              <w:rPr>
                <w:b/>
                <w:sz w:val="24"/>
                <w:szCs w:val="24"/>
              </w:rPr>
            </w:pPr>
            <w:r w:rsidRPr="00D33740">
              <w:rPr>
                <w:b/>
                <w:sz w:val="24"/>
                <w:szCs w:val="24"/>
              </w:rPr>
              <w:t xml:space="preserve">для голосования по </w:t>
            </w:r>
            <w:r>
              <w:rPr>
                <w:b/>
                <w:sz w:val="24"/>
                <w:szCs w:val="24"/>
              </w:rPr>
              <w:t xml:space="preserve">одномандатному </w:t>
            </w:r>
            <w:r w:rsidRPr="00D33740">
              <w:rPr>
                <w:b/>
                <w:sz w:val="24"/>
                <w:szCs w:val="24"/>
              </w:rPr>
              <w:t xml:space="preserve">избирательному округу </w:t>
            </w:r>
            <w:r w:rsidRPr="00D33740">
              <w:rPr>
                <w:b/>
                <w:sz w:val="24"/>
                <w:szCs w:val="24"/>
              </w:rPr>
              <w:br/>
              <w:t xml:space="preserve">на выборах депутатов </w:t>
            </w:r>
            <w:r w:rsidR="00E54AC6">
              <w:rPr>
                <w:b/>
                <w:sz w:val="24"/>
                <w:szCs w:val="24"/>
              </w:rPr>
              <w:t>Ставропольской городской Думы</w:t>
            </w:r>
          </w:p>
          <w:p w:rsidR="001D5F4D" w:rsidRPr="00D33740" w:rsidRDefault="00E54AC6" w:rsidP="00845C11">
            <w:pPr>
              <w:pStyle w:val="BodyText2"/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вос</w:t>
            </w:r>
            <w:r w:rsidR="001D5F4D" w:rsidRPr="00D33740">
              <w:rPr>
                <w:b/>
                <w:sz w:val="24"/>
                <w:szCs w:val="24"/>
              </w:rPr>
              <w:t xml:space="preserve">ьмого созыва </w:t>
            </w:r>
          </w:p>
          <w:p w:rsidR="001D5F4D" w:rsidRPr="00D33740" w:rsidRDefault="001D5F4D" w:rsidP="00845C11">
            <w:pPr>
              <w:pStyle w:val="BodyText2"/>
              <w:spacing w:line="216" w:lineRule="auto"/>
              <w:rPr>
                <w:b/>
                <w:sz w:val="24"/>
                <w:szCs w:val="24"/>
              </w:rPr>
            </w:pPr>
          </w:p>
          <w:p w:rsidR="001D5F4D" w:rsidRPr="00D33740" w:rsidRDefault="001D5F4D" w:rsidP="00845C11">
            <w:pPr>
              <w:pStyle w:val="BodyText2"/>
              <w:spacing w:line="216" w:lineRule="auto"/>
              <w:rPr>
                <w:b/>
                <w:bCs/>
                <w:sz w:val="24"/>
                <w:szCs w:val="24"/>
              </w:rPr>
            </w:pPr>
            <w:r w:rsidRPr="00D33740">
              <w:rPr>
                <w:b/>
                <w:bCs/>
                <w:sz w:val="24"/>
                <w:szCs w:val="24"/>
              </w:rPr>
              <w:t>19 сентября 2021 года</w:t>
            </w:r>
          </w:p>
          <w:p w:rsidR="001D5F4D" w:rsidRPr="00845C11" w:rsidRDefault="001D5F4D" w:rsidP="00845C11">
            <w:pPr>
              <w:pStyle w:val="BodyText2"/>
              <w:spacing w:line="21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1D5F4D" w:rsidRPr="00845C11" w:rsidRDefault="001D5F4D" w:rsidP="00845C11">
            <w:pPr>
              <w:pStyle w:val="1"/>
              <w:keepNext w:val="0"/>
              <w:spacing w:before="0"/>
              <w:jc w:val="center"/>
              <w:rPr>
                <w:i/>
                <w:color w:val="auto"/>
                <w:sz w:val="16"/>
                <w:szCs w:val="24"/>
              </w:rPr>
            </w:pPr>
            <w:r w:rsidRPr="00845C11">
              <w:rPr>
                <w:rFonts w:ascii="Times New Roman" w:hAnsi="Times New Roman"/>
                <w:bCs w:val="0"/>
                <w:color w:val="auto"/>
                <w:szCs w:val="24"/>
              </w:rPr>
              <w:t>О</w:t>
            </w:r>
            <w:r w:rsidRPr="00845C11">
              <w:rPr>
                <w:rFonts w:ascii="Times New Roman" w:hAnsi="Times New Roman"/>
                <w:color w:val="auto"/>
                <w:szCs w:val="24"/>
              </w:rPr>
              <w:t>дномандатный избирательный округ № ___</w:t>
            </w:r>
          </w:p>
        </w:tc>
        <w:tc>
          <w:tcPr>
            <w:tcW w:w="2114" w:type="dxa"/>
            <w:gridSpan w:val="4"/>
            <w:tcBorders>
              <w:bottom w:val="nil"/>
            </w:tcBorders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 w:cs="Arial"/>
                <w:sz w:val="12"/>
              </w:rPr>
            </w:pPr>
          </w:p>
          <w:p w:rsidR="001D5F4D" w:rsidRPr="00762EC3" w:rsidRDefault="001D5F4D" w:rsidP="00BB4B8E">
            <w:pPr>
              <w:jc w:val="center"/>
              <w:outlineLvl w:val="4"/>
              <w:rPr>
                <w:rFonts w:ascii="Arial" w:hAnsi="Arial" w:cs="Arial"/>
                <w:sz w:val="12"/>
              </w:rPr>
            </w:pPr>
            <w:r w:rsidRPr="00762EC3">
              <w:rPr>
                <w:rFonts w:ascii="Arial" w:hAnsi="Arial" w:cs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1D5F4D" w:rsidRPr="00762EC3" w:rsidRDefault="001D5F4D" w:rsidP="00BB4B8E">
            <w:pPr>
              <w:outlineLvl w:val="4"/>
              <w:rPr>
                <w:rFonts w:ascii="Arial" w:hAnsi="Arial"/>
                <w:sz w:val="12"/>
              </w:rPr>
            </w:pPr>
          </w:p>
        </w:tc>
      </w:tr>
      <w:tr w:rsidR="001D5F4D" w:rsidRPr="00762EC3" w:rsidTr="00BB4B8E">
        <w:trPr>
          <w:trHeight w:hRule="exact" w:val="1759"/>
          <w:jc w:val="center"/>
        </w:trPr>
        <w:tc>
          <w:tcPr>
            <w:tcW w:w="8002" w:type="dxa"/>
            <w:gridSpan w:val="11"/>
            <w:shd w:val="clear" w:color="auto" w:fill="auto"/>
            <w:vAlign w:val="center"/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/>
                <w:b/>
                <w:i/>
                <w:sz w:val="18"/>
              </w:rPr>
            </w:pPr>
            <w:r w:rsidRPr="00762EC3">
              <w:rPr>
                <w:rFonts w:ascii="Arial" w:hAnsi="Arial"/>
                <w:b/>
                <w:i/>
                <w:sz w:val="20"/>
              </w:rPr>
              <w:t>РАЗЪЯСНЕНИЕ ПОРЯДКА ЗАПОЛНЕНИЯ ИЗБИРАТЕЛЬНОГО БЮЛЛЕТЕНЯ</w:t>
            </w:r>
          </w:p>
          <w:p w:rsidR="001D5F4D" w:rsidRPr="00762EC3" w:rsidRDefault="001D5F4D" w:rsidP="00BB4B8E">
            <w:pPr>
              <w:widowControl w:val="0"/>
              <w:spacing w:before="60"/>
              <w:ind w:firstLine="284"/>
              <w:jc w:val="both"/>
              <w:rPr>
                <w:rFonts w:ascii="Arial" w:hAnsi="Arial" w:cs="Arial"/>
                <w:i/>
                <w:iCs/>
                <w:sz w:val="14"/>
              </w:rPr>
            </w:pPr>
            <w:r w:rsidRPr="00762EC3">
              <w:rPr>
                <w:rFonts w:ascii="Arial" w:hAnsi="Arial" w:cs="Arial"/>
                <w:i/>
                <w:iCs/>
                <w:sz w:val="14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1D5F4D" w:rsidRPr="00762EC3" w:rsidRDefault="001D5F4D" w:rsidP="00BB4B8E">
            <w:pPr>
              <w:widowControl w:val="0"/>
              <w:spacing w:before="60"/>
              <w:ind w:firstLine="284"/>
              <w:jc w:val="both"/>
              <w:rPr>
                <w:rFonts w:ascii="Arial" w:hAnsi="Arial" w:cs="Arial"/>
                <w:i/>
                <w:iCs/>
                <w:sz w:val="14"/>
              </w:rPr>
            </w:pPr>
            <w:proofErr w:type="gramStart"/>
            <w:r w:rsidRPr="00762EC3">
              <w:rPr>
                <w:rFonts w:ascii="Arial" w:hAnsi="Arial" w:cs="Arial"/>
                <w:i/>
                <w:iCs/>
                <w:sz w:val="14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1D5F4D" w:rsidRPr="00762EC3" w:rsidRDefault="001D5F4D" w:rsidP="00BB4B8E">
            <w:pPr>
              <w:widowControl w:val="0"/>
              <w:spacing w:before="60"/>
              <w:ind w:firstLine="284"/>
              <w:jc w:val="both"/>
              <w:rPr>
                <w:rFonts w:ascii="Arial" w:hAnsi="Arial" w:cs="Arial"/>
              </w:rPr>
            </w:pPr>
            <w:proofErr w:type="gramStart"/>
            <w:r w:rsidRPr="00762EC3">
              <w:rPr>
                <w:rFonts w:ascii="Arial" w:hAnsi="Arial" w:cs="Arial"/>
                <w:i/>
                <w:iCs/>
                <w:sz w:val="14"/>
              </w:rPr>
              <w:t>Избирательный бюллетень, не заверенный подписями двух членов участковой избирательной комиссии и печатью уч</w:t>
            </w:r>
            <w:r w:rsidRPr="0050511F">
              <w:rPr>
                <w:rFonts w:ascii="Arial" w:hAnsi="Arial" w:cs="Arial"/>
                <w:i/>
                <w:iCs/>
                <w:sz w:val="14"/>
              </w:rPr>
              <w:t>астковой избирательной комиссии</w:t>
            </w:r>
            <w:r w:rsidRPr="00762EC3">
              <w:rPr>
                <w:rFonts w:ascii="Arial" w:hAnsi="Arial" w:cs="Arial"/>
                <w:i/>
                <w:iCs/>
                <w:sz w:val="14"/>
              </w:rPr>
              <w:t xml:space="preserve"> признается</w:t>
            </w:r>
            <w:proofErr w:type="gramEnd"/>
            <w:r w:rsidRPr="00762EC3">
              <w:rPr>
                <w:rFonts w:ascii="Arial" w:hAnsi="Arial" w:cs="Arial"/>
                <w:i/>
                <w:iCs/>
                <w:sz w:val="14"/>
              </w:rPr>
              <w:t xml:space="preserve"> бюллетенем неустановленной формы и при подсчете голосов не учитывается.</w:t>
            </w:r>
          </w:p>
        </w:tc>
        <w:tc>
          <w:tcPr>
            <w:tcW w:w="2114" w:type="dxa"/>
            <w:gridSpan w:val="4"/>
            <w:tcBorders>
              <w:top w:val="nil"/>
            </w:tcBorders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  <w:tr w:rsidR="001D5F4D" w:rsidRPr="00762EC3" w:rsidTr="00BB4B8E">
        <w:trPr>
          <w:trHeight w:hRule="exact" w:val="160"/>
          <w:jc w:val="center"/>
        </w:trPr>
        <w:tc>
          <w:tcPr>
            <w:tcW w:w="2608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6379" w:type="dxa"/>
            <w:gridSpan w:val="8"/>
            <w:tcBorders>
              <w:left w:val="nil"/>
              <w:bottom w:val="nil"/>
              <w:right w:val="nil"/>
            </w:tcBorders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129" w:type="dxa"/>
            <w:gridSpan w:val="2"/>
            <w:tcBorders>
              <w:left w:val="nil"/>
              <w:bottom w:val="nil"/>
            </w:tcBorders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  <w:tr w:rsidR="001D5F4D" w:rsidRPr="00762EC3" w:rsidTr="00BB4B8E">
        <w:trPr>
          <w:trHeight w:val="708"/>
          <w:jc w:val="center"/>
        </w:trPr>
        <w:tc>
          <w:tcPr>
            <w:tcW w:w="2608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1D5F4D" w:rsidRPr="00762EC3" w:rsidRDefault="001D5F4D" w:rsidP="00BB4B8E">
            <w:pPr>
              <w:spacing w:before="120"/>
              <w:ind w:left="57"/>
              <w:rPr>
                <w:b/>
                <w:sz w:val="21"/>
                <w:szCs w:val="21"/>
              </w:rPr>
            </w:pPr>
            <w:r w:rsidRPr="00762EC3">
              <w:rPr>
                <w:rFonts w:ascii="Times New Roman CYR" w:hAnsi="Times New Roman CYR" w:cs="Times New Roman CYR"/>
                <w:b/>
                <w:iCs/>
                <w:sz w:val="21"/>
                <w:szCs w:val="21"/>
              </w:rPr>
              <w:t>ФАМИЛИЯ,</w:t>
            </w:r>
            <w:r w:rsidRPr="00762EC3">
              <w:rPr>
                <w:rFonts w:ascii="Times New Roman CYR" w:hAnsi="Times New Roman CYR" w:cs="Times New Roman CYR"/>
                <w:b/>
                <w:iCs/>
                <w:sz w:val="21"/>
                <w:szCs w:val="21"/>
              </w:rPr>
              <w:br/>
              <w:t>имя и отчество</w:t>
            </w:r>
            <w:r w:rsidRPr="00D24100">
              <w:rPr>
                <w:rFonts w:ascii="Times New Roman CYR" w:hAnsi="Times New Roman CYR" w:cs="Times New Roman CYR"/>
                <w:b/>
                <w:iCs/>
                <w:sz w:val="21"/>
                <w:szCs w:val="21"/>
              </w:rPr>
              <w:br/>
            </w:r>
            <w:r w:rsidRPr="00762EC3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зарегистрированного кандидата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right w:val="nil"/>
            </w:tcBorders>
          </w:tcPr>
          <w:p w:rsidR="001D5F4D" w:rsidRPr="00762EC3" w:rsidRDefault="001D5F4D" w:rsidP="00DF4E4E">
            <w:pPr>
              <w:spacing w:before="120" w:after="120" w:line="216" w:lineRule="auto"/>
              <w:ind w:firstLine="359"/>
              <w:jc w:val="both"/>
              <w:rPr>
                <w:rFonts w:ascii="Times New Roman CYR" w:hAnsi="Times New Roman CYR" w:cs="Times New Roman CYR"/>
                <w:iCs/>
                <w:sz w:val="21"/>
                <w:szCs w:val="21"/>
              </w:rPr>
            </w:pPr>
            <w:r w:rsidRPr="00762EC3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762EC3">
              <w:rPr>
                <w:rFonts w:ascii="Times New Roman CYR" w:hAnsi="Times New Roman CYR" w:cs="Times New Roman CYR"/>
                <w:iCs/>
                <w:sz w:val="21"/>
                <w:szCs w:val="21"/>
              </w:rPr>
              <w:t>:»</w:t>
            </w:r>
            <w:proofErr w:type="gramEnd"/>
            <w:r w:rsidRPr="00762EC3">
              <w:rPr>
                <w:rFonts w:ascii="Times New Roman CYR" w:hAnsi="Times New Roman CYR" w:cs="Times New Roman CYR"/>
                <w:iCs/>
                <w:sz w:val="21"/>
                <w:szCs w:val="21"/>
              </w:rPr>
              <w:t xml:space="preserve"> и прежние фамилия, имя, отчество кандидата.</w:t>
            </w:r>
          </w:p>
          <w:p w:rsidR="001D5F4D" w:rsidRPr="00D24100" w:rsidRDefault="001D5F4D" w:rsidP="00DF4E4E">
            <w:pPr>
              <w:pStyle w:val="a9"/>
              <w:ind w:left="0" w:firstLine="358"/>
              <w:jc w:val="both"/>
              <w:rPr>
                <w:sz w:val="21"/>
                <w:szCs w:val="21"/>
              </w:rPr>
            </w:pPr>
            <w:r w:rsidRPr="00D24100">
              <w:rPr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1D5F4D" w:rsidRPr="00D24100" w:rsidRDefault="001D5F4D" w:rsidP="00DF4E4E">
            <w:pPr>
              <w:pStyle w:val="a9"/>
              <w:ind w:left="0" w:firstLine="359"/>
              <w:jc w:val="both"/>
              <w:rPr>
                <w:sz w:val="21"/>
                <w:szCs w:val="21"/>
              </w:rPr>
            </w:pPr>
            <w:r w:rsidRPr="00D24100">
              <w:rPr>
                <w:sz w:val="21"/>
                <w:szCs w:val="21"/>
              </w:rPr>
              <w:t>Если кандидат выдвинут избирательным объединением указывается слово «выдвинут</w:t>
            </w:r>
            <w:proofErr w:type="gramStart"/>
            <w:r w:rsidRPr="00D24100">
              <w:rPr>
                <w:sz w:val="21"/>
                <w:szCs w:val="21"/>
              </w:rPr>
              <w:t>:»</w:t>
            </w:r>
            <w:proofErr w:type="gramEnd"/>
            <w:r w:rsidRPr="00D24100">
              <w:rPr>
                <w:sz w:val="21"/>
                <w:szCs w:val="21"/>
              </w:rPr>
              <w:t xml:space="preserve"> и наименование политической партии. Если кандидат сам выдвинул свою кандидатуру - слово «самовыдвижение».</w:t>
            </w:r>
          </w:p>
          <w:p w:rsidR="001D5F4D" w:rsidRPr="00D24100" w:rsidRDefault="001D5F4D" w:rsidP="00DF4E4E">
            <w:pPr>
              <w:pStyle w:val="a9"/>
              <w:ind w:left="0" w:firstLine="359"/>
              <w:jc w:val="both"/>
              <w:rPr>
                <w:sz w:val="21"/>
                <w:szCs w:val="21"/>
              </w:rPr>
            </w:pPr>
            <w:proofErr w:type="gramStart"/>
            <w:r w:rsidRPr="00D24100">
              <w:rPr>
                <w:sz w:val="21"/>
                <w:szCs w:val="21"/>
              </w:rPr>
              <w:t>Если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наименование соответствующей политической партии, иного общественного объединения в соответствии   с   пунктом   10  статьи  35  Федерального  закона «Об основных гарантиях избирательных прав и права на участие в референдуме граждан Российской Федерации» и статус зарегистрированного кандидата в этой политической партии, ином общественном</w:t>
            </w:r>
            <w:proofErr w:type="gramEnd"/>
            <w:r w:rsidRPr="00D24100">
              <w:rPr>
                <w:sz w:val="21"/>
                <w:szCs w:val="21"/>
              </w:rPr>
              <w:t xml:space="preserve"> </w:t>
            </w:r>
            <w:proofErr w:type="gramStart"/>
            <w:r w:rsidRPr="00D24100">
              <w:rPr>
                <w:sz w:val="21"/>
                <w:szCs w:val="21"/>
              </w:rPr>
              <w:t>объединении</w:t>
            </w:r>
            <w:proofErr w:type="gramEnd"/>
            <w:r w:rsidRPr="00D24100">
              <w:rPr>
                <w:sz w:val="21"/>
                <w:szCs w:val="21"/>
              </w:rPr>
              <w:t>.</w:t>
            </w:r>
          </w:p>
          <w:p w:rsidR="001D5F4D" w:rsidRPr="00D24100" w:rsidRDefault="001D5F4D" w:rsidP="00DF4E4E">
            <w:pPr>
              <w:pStyle w:val="a9"/>
              <w:ind w:left="-67" w:firstLine="426"/>
              <w:jc w:val="both"/>
              <w:rPr>
                <w:sz w:val="21"/>
                <w:szCs w:val="21"/>
              </w:rPr>
            </w:pPr>
            <w:r w:rsidRPr="00D24100">
              <w:rPr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1D5F4D" w:rsidRPr="00762EC3" w:rsidRDefault="00DF4E4E" w:rsidP="00DF4E4E">
            <w:pPr>
              <w:spacing w:after="120" w:line="216" w:lineRule="auto"/>
              <w:ind w:firstLine="75"/>
              <w:jc w:val="both"/>
              <w:rPr>
                <w:rFonts w:ascii="Times New Roman CYR" w:hAnsi="Times New Roman CYR" w:cs="Times New Roman CYR"/>
                <w:iCs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iCs/>
                <w:sz w:val="21"/>
                <w:szCs w:val="21"/>
              </w:rPr>
              <w:t xml:space="preserve">      </w:t>
            </w:r>
            <w:r w:rsidR="001D5F4D" w:rsidRPr="00762EC3">
              <w:rPr>
                <w:rFonts w:ascii="Times New Roman CYR" w:hAnsi="Times New Roman CYR" w:cs="Times New Roman CYR"/>
                <w:iCs/>
                <w:sz w:val="21"/>
                <w:szCs w:val="21"/>
              </w:rPr>
              <w:t xml:space="preserve">Если кандидат является физическим лицом, выполняющим функции иностранного агента, либо кандидатом, </w:t>
            </w:r>
            <w:proofErr w:type="spellStart"/>
            <w:r w:rsidR="001D5F4D" w:rsidRPr="00762EC3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аффилированным</w:t>
            </w:r>
            <w:proofErr w:type="spellEnd"/>
            <w:r w:rsidR="001D5F4D" w:rsidRPr="00762EC3">
              <w:rPr>
                <w:rFonts w:ascii="Times New Roman CYR" w:hAnsi="Times New Roman CYR" w:cs="Times New Roman CYR"/>
                <w:iCs/>
                <w:sz w:val="21"/>
                <w:szCs w:val="21"/>
              </w:rPr>
              <w:t xml:space="preserve"> с выполняющим функции иностранного агента лицом, указываются сведения об этом.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</w:tcBorders>
          </w:tcPr>
          <w:p w:rsidR="001D5F4D" w:rsidRPr="00762EC3" w:rsidRDefault="001D5F4D" w:rsidP="00BB4B8E">
            <w:pPr>
              <w:spacing w:before="180"/>
              <w:ind w:left="355"/>
              <w:outlineLvl w:val="4"/>
              <w:rPr>
                <w:b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2500630</wp:posOffset>
                  </wp:positionV>
                  <wp:extent cx="351155" cy="351155"/>
                  <wp:effectExtent l="19050" t="0" r="0" b="0"/>
                  <wp:wrapNone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5F4D" w:rsidRPr="00762EC3" w:rsidTr="00BB4B8E">
        <w:trPr>
          <w:trHeight w:hRule="exact" w:val="140"/>
          <w:jc w:val="center"/>
        </w:trPr>
        <w:tc>
          <w:tcPr>
            <w:tcW w:w="1137" w:type="dxa"/>
            <w:gridSpan w:val="3"/>
            <w:shd w:val="clear" w:color="auto" w:fill="auto"/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10" w:type="dxa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10" w:type="dxa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  <w:tcBorders>
              <w:right w:val="nil"/>
            </w:tcBorders>
            <w:shd w:val="clear" w:color="auto" w:fill="auto"/>
          </w:tcPr>
          <w:p w:rsidR="001D5F4D" w:rsidRPr="00762EC3" w:rsidRDefault="001D5F4D" w:rsidP="00BB4B8E">
            <w:pPr>
              <w:outlineLvl w:val="4"/>
              <w:rPr>
                <w:color w:val="0000FF"/>
                <w:sz w:val="20"/>
              </w:rPr>
            </w:pP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1D5F4D" w:rsidRPr="00762EC3" w:rsidRDefault="001D5F4D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05" w:type="dxa"/>
            <w:tcBorders>
              <w:left w:val="nil"/>
            </w:tcBorders>
            <w:shd w:val="clear" w:color="auto" w:fill="FFFFFF"/>
          </w:tcPr>
          <w:p w:rsidR="001D5F4D" w:rsidRPr="00762EC3" w:rsidRDefault="001D5F4D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</w:tbl>
    <w:p w:rsidR="001D5F4D" w:rsidRPr="00E54AC6" w:rsidRDefault="001D5F4D" w:rsidP="001D5F4D">
      <w:pPr>
        <w:keepNext/>
        <w:ind w:firstLine="709"/>
        <w:jc w:val="both"/>
        <w:rPr>
          <w:b/>
          <w:szCs w:val="28"/>
        </w:rPr>
      </w:pPr>
      <w:r w:rsidRPr="00E54AC6">
        <w:rPr>
          <w:b/>
          <w:szCs w:val="28"/>
        </w:rPr>
        <w:lastRenderedPageBreak/>
        <w:t xml:space="preserve">Примечание. 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proofErr w:type="gramStart"/>
      <w:r w:rsidRPr="00762EC3">
        <w:rPr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</w:t>
      </w:r>
      <w:proofErr w:type="gramEnd"/>
      <w:r w:rsidRPr="00762EC3">
        <w:rPr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762EC3">
        <w:rPr>
          <w:szCs w:val="28"/>
        </w:rPr>
        <w:t>:»</w:t>
      </w:r>
      <w:proofErr w:type="gramEnd"/>
      <w:r w:rsidRPr="00762EC3">
        <w:rPr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В соответствующих случаях указываются слова «является физическим лицом, выполняющим функции иностранного агента» либо «является кандидатом, </w:t>
      </w:r>
      <w:proofErr w:type="spellStart"/>
      <w:r w:rsidRPr="00762EC3">
        <w:rPr>
          <w:szCs w:val="28"/>
        </w:rPr>
        <w:t>аффилированным</w:t>
      </w:r>
      <w:proofErr w:type="spellEnd"/>
      <w:r w:rsidRPr="00762EC3">
        <w:rPr>
          <w:szCs w:val="28"/>
        </w:rPr>
        <w:t xml:space="preserve"> с выполняющим функции иностранного агента лицом».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Избирательные бюллетени для голосования по одномандатному избирательному округу с использованием комплексов обработки избирательных бюллетеней (далее – КОИБ) печатаются на однородной целлюлозной бумаге белого цвета плотностью от 80 до 100 г/м</w:t>
      </w:r>
      <w:proofErr w:type="gramStart"/>
      <w:r w:rsidRPr="00762EC3">
        <w:rPr>
          <w:szCs w:val="28"/>
          <w:vertAlign w:val="superscript"/>
        </w:rPr>
        <w:t>2</w:t>
      </w:r>
      <w:proofErr w:type="gramEnd"/>
      <w:r w:rsidRPr="00762EC3">
        <w:rPr>
          <w:szCs w:val="28"/>
        </w:rPr>
        <w:t xml:space="preserve">. 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углы должны быть равны 90,0º±0,1º;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кривизна края обреза бюллетеня в точке максимального прогиба не должна превышать 1 мм;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разность диагоналей бюллетеня не должна превышать 2 мм;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ширина бюллетеня – 210±1мм;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длина бюллетеня – </w:t>
      </w:r>
      <w:r w:rsidR="00E54AC6">
        <w:rPr>
          <w:szCs w:val="28"/>
        </w:rPr>
        <w:t>297</w:t>
      </w:r>
      <w:r w:rsidR="00E54AC6" w:rsidRPr="00762EC3">
        <w:rPr>
          <w:szCs w:val="28"/>
        </w:rPr>
        <w:t>±1мм</w:t>
      </w:r>
      <w:r w:rsidRPr="00762EC3">
        <w:rPr>
          <w:szCs w:val="28"/>
        </w:rPr>
        <w:t>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Избирательные бюллетени изготавливаются типографским способом по электронному макету, подготовленному в избирательной комиссии</w:t>
      </w:r>
      <w:r w:rsidRPr="003A2208">
        <w:rPr>
          <w:szCs w:val="28"/>
        </w:rPr>
        <w:t xml:space="preserve"> </w:t>
      </w:r>
      <w:r w:rsidR="00E54AC6">
        <w:rPr>
          <w:szCs w:val="28"/>
        </w:rPr>
        <w:t>города Ставрополя</w:t>
      </w:r>
      <w:r w:rsidRPr="00762EC3">
        <w:rPr>
          <w:szCs w:val="28"/>
        </w:rPr>
        <w:t xml:space="preserve"> с использованием Г</w:t>
      </w:r>
      <w:r w:rsidRPr="003A2208">
        <w:rPr>
          <w:szCs w:val="28"/>
        </w:rPr>
        <w:t>осударственной автоматизированной системы Российской Федерации</w:t>
      </w:r>
      <w:r w:rsidRPr="00762EC3">
        <w:rPr>
          <w:szCs w:val="28"/>
        </w:rPr>
        <w:t xml:space="preserve"> «Выборы».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Текст размещается только на одной стороне избирательного бюллетеня.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Избирательные бюллетени печатаются на русском языке.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Текст избирательного бюллетеня печатается в одну краску черного цвета.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Нумерация избирательных бюллетеней не допускается.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По периметру избирательного бюллетеня на расстоянии 12 мм от его краев печатается рамка черного цвета в одну линию толщиной 0,75 мм. Весь текст </w:t>
      </w:r>
      <w:r w:rsidRPr="00762EC3">
        <w:rPr>
          <w:szCs w:val="28"/>
        </w:rPr>
        <w:lastRenderedPageBreak/>
        <w:t>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На лицевой стороне избирательного бюллетеня в правом верхнем углу предусматривается прямоугольное место размером 50–80 мм </w:t>
      </w:r>
      <w:proofErr w:type="spellStart"/>
      <w:r w:rsidRPr="00762EC3">
        <w:rPr>
          <w:szCs w:val="28"/>
        </w:rPr>
        <w:t>х</w:t>
      </w:r>
      <w:proofErr w:type="spellEnd"/>
      <w:r w:rsidRPr="00762EC3">
        <w:rPr>
          <w:szCs w:val="28"/>
        </w:rPr>
        <w:t xml:space="preserve">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На оборотную сторону избирательного бюллетеня наносится фоновая защитная сетка. Нанесение каких-либо иных изображений на оборотную сторону избирательного бюллетеня не допускается.</w:t>
      </w:r>
    </w:p>
    <w:p w:rsidR="001D5F4D" w:rsidRPr="00762EC3" w:rsidRDefault="001D5F4D" w:rsidP="001219BE">
      <w:pPr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4B13C5" w:rsidRPr="00762EC3" w:rsidRDefault="004B13C5" w:rsidP="001219BE">
      <w:pPr>
        <w:keepLines/>
        <w:spacing w:before="0" w:after="0"/>
        <w:ind w:firstLine="709"/>
        <w:jc w:val="both"/>
        <w:rPr>
          <w:szCs w:val="28"/>
        </w:rPr>
      </w:pPr>
    </w:p>
    <w:p w:rsidR="000F5869" w:rsidRPr="00DB637F" w:rsidRDefault="000F5869" w:rsidP="006C4F73">
      <w:pPr>
        <w:spacing w:before="0" w:after="0" w:line="360" w:lineRule="auto"/>
        <w:jc w:val="both"/>
        <w:rPr>
          <w:sz w:val="28"/>
          <w:szCs w:val="28"/>
        </w:rPr>
      </w:pPr>
    </w:p>
    <w:p w:rsidR="00977E29" w:rsidRDefault="00977E29" w:rsidP="00977E2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543">
        <w:rPr>
          <w:sz w:val="28"/>
          <w:szCs w:val="28"/>
        </w:rPr>
        <w:t xml:space="preserve">       </w:t>
      </w:r>
      <w:r>
        <w:rPr>
          <w:sz w:val="28"/>
          <w:szCs w:val="28"/>
        </w:rPr>
        <w:t>Е.С.</w:t>
      </w:r>
      <w:r w:rsidR="00BE0E37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Морозова</w:t>
      </w:r>
    </w:p>
    <w:p w:rsidR="009B0543" w:rsidRDefault="009B0543" w:rsidP="00977E29">
      <w:pPr>
        <w:pStyle w:val="a7"/>
        <w:ind w:left="0"/>
        <w:jc w:val="both"/>
        <w:rPr>
          <w:sz w:val="28"/>
          <w:szCs w:val="28"/>
        </w:rPr>
      </w:pPr>
    </w:p>
    <w:p w:rsidR="00565520" w:rsidRPr="00845C11" w:rsidRDefault="00565520">
      <w:pPr>
        <w:rPr>
          <w:lang w:val="en-US"/>
        </w:rPr>
      </w:pPr>
    </w:p>
    <w:sectPr w:rsidR="00565520" w:rsidRPr="00845C11" w:rsidSect="00E54AC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D3"/>
    <w:multiLevelType w:val="hybridMultilevel"/>
    <w:tmpl w:val="8A26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B7599"/>
    <w:rsid w:val="000A07AC"/>
    <w:rsid w:val="000F5869"/>
    <w:rsid w:val="001219BE"/>
    <w:rsid w:val="001D5F4D"/>
    <w:rsid w:val="001E5D84"/>
    <w:rsid w:val="002645DC"/>
    <w:rsid w:val="00273A30"/>
    <w:rsid w:val="0027727D"/>
    <w:rsid w:val="002D06AD"/>
    <w:rsid w:val="0032313A"/>
    <w:rsid w:val="003708A5"/>
    <w:rsid w:val="00376F8F"/>
    <w:rsid w:val="00427D64"/>
    <w:rsid w:val="00496624"/>
    <w:rsid w:val="004B13C5"/>
    <w:rsid w:val="00565520"/>
    <w:rsid w:val="006C4F73"/>
    <w:rsid w:val="00711FC7"/>
    <w:rsid w:val="00845C11"/>
    <w:rsid w:val="008B7599"/>
    <w:rsid w:val="008F451E"/>
    <w:rsid w:val="00943847"/>
    <w:rsid w:val="00977E29"/>
    <w:rsid w:val="009B0543"/>
    <w:rsid w:val="009E461F"/>
    <w:rsid w:val="00A1391C"/>
    <w:rsid w:val="00B8588D"/>
    <w:rsid w:val="00BE0E37"/>
    <w:rsid w:val="00C0228A"/>
    <w:rsid w:val="00C67317"/>
    <w:rsid w:val="00CC1516"/>
    <w:rsid w:val="00CC743D"/>
    <w:rsid w:val="00CD74DA"/>
    <w:rsid w:val="00D32245"/>
    <w:rsid w:val="00D72B4A"/>
    <w:rsid w:val="00DC05A2"/>
    <w:rsid w:val="00DF4E4E"/>
    <w:rsid w:val="00E334C2"/>
    <w:rsid w:val="00E54AC6"/>
    <w:rsid w:val="00E66C97"/>
    <w:rsid w:val="00EC1E3A"/>
    <w:rsid w:val="00EC2590"/>
    <w:rsid w:val="00F714FE"/>
    <w:rsid w:val="00FC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599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7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75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8B759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8B7599"/>
    <w:rPr>
      <w:rFonts w:ascii="Times New Roman CYR" w:hAnsi="Times New Roman CYR" w:cs="Times New Roman CYR"/>
      <w:i/>
      <w:iCs/>
      <w:sz w:val="22"/>
      <w:szCs w:val="22"/>
      <w:lang w:val="ru-RU" w:eastAsia="ru-RU" w:bidi="ar-SA"/>
    </w:rPr>
  </w:style>
  <w:style w:type="paragraph" w:styleId="a3">
    <w:name w:val="Plain Text"/>
    <w:basedOn w:val="a"/>
    <w:link w:val="a4"/>
    <w:rsid w:val="008B759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B7599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8B759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B7599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B75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8B7599"/>
    <w:rPr>
      <w:sz w:val="28"/>
      <w:szCs w:val="28"/>
      <w:lang w:val="ru-RU" w:eastAsia="ru-RU" w:bidi="ar-SA"/>
    </w:rPr>
  </w:style>
  <w:style w:type="paragraph" w:customStyle="1" w:styleId="11">
    <w:name w:val="Текст1"/>
    <w:basedOn w:val="a"/>
    <w:rsid w:val="008B7599"/>
    <w:pPr>
      <w:spacing w:before="120" w:after="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31">
    <w:name w:val="Основной текст 31"/>
    <w:basedOn w:val="a"/>
    <w:rsid w:val="000A07AC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B8588D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qFormat/>
    <w:rsid w:val="00977E29"/>
    <w:pPr>
      <w:widowControl w:val="0"/>
      <w:overflowPunct w:val="0"/>
      <w:autoSpaceDE w:val="0"/>
      <w:autoSpaceDN w:val="0"/>
      <w:adjustRightInd w:val="0"/>
      <w:spacing w:before="0" w:after="0"/>
      <w:ind w:left="720"/>
      <w:contextualSpacing/>
      <w:textAlignment w:val="baseline"/>
    </w:pPr>
    <w:rPr>
      <w:sz w:val="20"/>
      <w:szCs w:val="20"/>
    </w:rPr>
  </w:style>
  <w:style w:type="paragraph" w:styleId="a8">
    <w:name w:val="Balloon Text"/>
    <w:basedOn w:val="a"/>
    <w:semiHidden/>
    <w:rsid w:val="0027727D"/>
    <w:rPr>
      <w:rFonts w:ascii="Tahoma" w:hAnsi="Tahoma" w:cs="Tahoma"/>
      <w:sz w:val="16"/>
      <w:szCs w:val="16"/>
    </w:rPr>
  </w:style>
  <w:style w:type="paragraph" w:customStyle="1" w:styleId="Normal">
    <w:name w:val="Normal"/>
    <w:rsid w:val="004B13C5"/>
    <w:pPr>
      <w:spacing w:before="100" w:after="100"/>
    </w:pPr>
    <w:rPr>
      <w:snapToGrid w:val="0"/>
      <w:sz w:val="24"/>
    </w:rPr>
  </w:style>
  <w:style w:type="paragraph" w:customStyle="1" w:styleId="BodyText2">
    <w:name w:val="Body Text 2"/>
    <w:basedOn w:val="Normal"/>
    <w:rsid w:val="004B13C5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character" w:customStyle="1" w:styleId="10">
    <w:name w:val="Заголовок 1 Знак"/>
    <w:basedOn w:val="a0"/>
    <w:link w:val="1"/>
    <w:rsid w:val="001D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rsid w:val="001D5F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D5F4D"/>
    <w:rPr>
      <w:sz w:val="24"/>
      <w:szCs w:val="24"/>
    </w:rPr>
  </w:style>
  <w:style w:type="paragraph" w:customStyle="1" w:styleId="ab">
    <w:name w:val="Нормальный.Нормальный"/>
    <w:rsid w:val="00845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Аппарат Правительства Ставропольского края</Company>
  <LinksUpToDate>false</LinksUpToDate>
  <CharactersWithSpaces>7604</CharactersWithSpaces>
  <SharedDoc>false</SharedDoc>
  <HLinks>
    <vt:vector size="30" baseType="variant">
      <vt:variant>
        <vt:i4>4653147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2228328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consultantplus://offline/ref=5DB7F4805DCF4804409B7459AD73169414572C9DC2AFE6DE94DF770C1821D5655BF9D11F491DO6V1Q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8061034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consultantplus://offline/ref=8CA6BC37AB1B30FB18C18EE98A8C47D180567F8C4AAEF9D00CE32AFC3F5CFCA6FCDE30CD1ADA5CD5qDWEH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consultantplus://offline/ref=8CA6BC37AB1B30FB18C18EE98A8C47D180567F8C4AAEF9D00CE32AFC3F5CFCA6FCDE30CD1ADA5CD5qDWEH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Прохода Марина Николаевна (377-01-01 - prohoda)</dc:creator>
  <cp:lastModifiedBy>Избирательная комиссия г. Ставрополя</cp:lastModifiedBy>
  <cp:revision>6</cp:revision>
  <cp:lastPrinted>2021-08-17T09:07:00Z</cp:lastPrinted>
  <dcterms:created xsi:type="dcterms:W3CDTF">2021-08-17T09:01:00Z</dcterms:created>
  <dcterms:modified xsi:type="dcterms:W3CDTF">2021-08-17T11:51:00Z</dcterms:modified>
</cp:coreProperties>
</file>