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jc w:val="center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результатах мониторинга решений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5"/>
        <w:jc w:val="center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Ставропольской городской Думы за 20</w:t>
      </w:r>
      <w:r>
        <w:rPr>
          <w:rFonts w:eastAsia="Calibri"/>
          <w:sz w:val="28"/>
          <w:szCs w:val="28"/>
        </w:rPr>
        <w:t xml:space="preserve">25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Порядка организации и проведения мониторинга решений Ставропольской городской Думы, носящих характер нормативных правовых актов</w:t>
      </w:r>
      <w:r>
        <w:rPr>
          <w:rFonts w:eastAsia="Calibri"/>
          <w:sz w:val="28"/>
          <w:szCs w:val="28"/>
        </w:rPr>
        <w:t xml:space="preserve">, утвержденного решением</w:t>
      </w:r>
      <w:r>
        <w:rPr>
          <w:rFonts w:eastAsia="Calibri"/>
          <w:sz w:val="28"/>
          <w:szCs w:val="28"/>
        </w:rPr>
        <w:t xml:space="preserve"> Ставропольской городской Думы от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25 апреля 2012 г. № 199</w:t>
      </w:r>
      <w:r>
        <w:rPr>
          <w:rFonts w:eastAsia="Calibri"/>
          <w:sz w:val="28"/>
          <w:szCs w:val="28"/>
        </w:rPr>
        <w:t xml:space="preserve"> «Об утверждении Порядка организации и проведения мониторинга решений Ставропольской городской Думы, носящих характер нормативных правовых актов»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правовым управлением Ставропольской горо</w:t>
      </w:r>
      <w:r>
        <w:rPr>
          <w:rFonts w:eastAsia="Calibri"/>
          <w:sz w:val="28"/>
          <w:szCs w:val="28"/>
        </w:rPr>
        <w:t xml:space="preserve">дской Думы по итогам календарного года осуществлен анализ реализации </w:t>
      </w:r>
      <w:r>
        <w:rPr>
          <w:rFonts w:eastAsia="Calibri"/>
          <w:sz w:val="28"/>
          <w:szCs w:val="28"/>
        </w:rPr>
        <w:t xml:space="preserve">п</w:t>
      </w:r>
      <w:r>
        <w:rPr>
          <w:rFonts w:eastAsia="Calibri"/>
          <w:sz w:val="28"/>
          <w:szCs w:val="28"/>
        </w:rPr>
        <w:t xml:space="preserve">лана мониторинга решений Ставропольской городской Думы на 20</w:t>
      </w:r>
      <w:r>
        <w:rPr>
          <w:rFonts w:eastAsia="Calibri"/>
          <w:sz w:val="28"/>
          <w:szCs w:val="28"/>
        </w:rPr>
        <w:t xml:space="preserve">25</w:t>
      </w:r>
      <w:r>
        <w:rPr>
          <w:rFonts w:eastAsia="Calibri"/>
          <w:sz w:val="28"/>
          <w:szCs w:val="28"/>
        </w:rPr>
        <w:t xml:space="preserve"> год, утвержденного </w:t>
      </w:r>
      <w:r>
        <w:rPr>
          <w:rFonts w:eastAsia="Calibri"/>
          <w:sz w:val="28"/>
          <w:szCs w:val="28"/>
        </w:rPr>
        <w:t xml:space="preserve">распоряжением </w:t>
      </w:r>
      <w:r>
        <w:rPr>
          <w:rFonts w:eastAsia="Calibri"/>
          <w:sz w:val="28"/>
          <w:szCs w:val="28"/>
        </w:rPr>
        <w:t xml:space="preserve">председателя Ставропольской городской Думы </w:t>
      </w:r>
      <w:r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 xml:space="preserve">13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декабря </w:t>
      </w:r>
      <w:r>
        <w:rPr>
          <w:rFonts w:eastAsia="Calibri"/>
          <w:sz w:val="28"/>
          <w:szCs w:val="28"/>
        </w:rPr>
        <w:t xml:space="preserve">20</w:t>
      </w:r>
      <w:r>
        <w:rPr>
          <w:rFonts w:eastAsia="Calibri"/>
          <w:sz w:val="28"/>
          <w:szCs w:val="28"/>
        </w:rPr>
        <w:t xml:space="preserve">24</w:t>
      </w:r>
      <w:r>
        <w:rPr>
          <w:rFonts w:eastAsia="Calibri"/>
          <w:sz w:val="28"/>
          <w:szCs w:val="28"/>
        </w:rPr>
        <w:t xml:space="preserve"> г. № </w:t>
      </w:r>
      <w:r>
        <w:rPr>
          <w:rFonts w:eastAsia="Calibri"/>
          <w:sz w:val="28"/>
          <w:szCs w:val="28"/>
        </w:rPr>
        <w:t xml:space="preserve">36</w:t>
      </w:r>
      <w:r>
        <w:rPr>
          <w:rFonts w:eastAsia="Calibri"/>
          <w:sz w:val="28"/>
          <w:szCs w:val="28"/>
        </w:rPr>
        <w:t xml:space="preserve">-р «О плане мониторинга решений Ставрополь</w:t>
      </w:r>
      <w:r>
        <w:rPr>
          <w:rFonts w:eastAsia="Calibri"/>
          <w:sz w:val="28"/>
          <w:szCs w:val="28"/>
        </w:rPr>
        <w:t xml:space="preserve">ской городской Думы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</w:rPr>
        <w:t xml:space="preserve">на 20</w:t>
      </w:r>
      <w:r>
        <w:rPr>
          <w:rFonts w:eastAsia="Calibri"/>
          <w:sz w:val="28"/>
          <w:szCs w:val="28"/>
        </w:rPr>
        <w:t xml:space="preserve">25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 xml:space="preserve">(</w:t>
      </w:r>
      <w:r>
        <w:rPr>
          <w:rFonts w:eastAsia="Calibri"/>
          <w:sz w:val="28"/>
          <w:szCs w:val="28"/>
        </w:rPr>
        <w:t xml:space="preserve">далее – План мониторинга).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5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План мониторинга</w:t>
      </w:r>
      <w:r>
        <w:rPr>
          <w:rFonts w:eastAsia="Calibri"/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, внесенным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распоряжением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Ставропольской городской Думы </w:t>
      </w:r>
      <w:r>
        <w:rPr>
          <w:sz w:val="28"/>
          <w:szCs w:val="28"/>
        </w:rPr>
        <w:t xml:space="preserve">от 12</w:t>
      </w:r>
      <w:r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г. № 8</w:t>
      </w:r>
      <w:r>
        <w:rPr>
          <w:sz w:val="28"/>
          <w:szCs w:val="28"/>
        </w:rPr>
        <w:t xml:space="preserve">-р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было включено </w:t>
      </w:r>
      <w:r>
        <w:rPr>
          <w:rFonts w:eastAsia="Calibri"/>
          <w:sz w:val="28"/>
          <w:szCs w:val="28"/>
        </w:rPr>
        <w:t xml:space="preserve">13</w:t>
      </w:r>
      <w:r>
        <w:rPr>
          <w:rFonts w:eastAsia="Calibri"/>
          <w:sz w:val="28"/>
          <w:szCs w:val="28"/>
        </w:rPr>
        <w:t xml:space="preserve"> решени</w:t>
      </w:r>
      <w:r>
        <w:rPr>
          <w:rFonts w:eastAsia="Calibri"/>
          <w:sz w:val="28"/>
          <w:szCs w:val="28"/>
        </w:rPr>
        <w:t xml:space="preserve">й</w:t>
      </w:r>
      <w:r>
        <w:rPr>
          <w:rFonts w:eastAsia="Calibri"/>
          <w:sz w:val="28"/>
          <w:szCs w:val="28"/>
        </w:rPr>
        <w:t xml:space="preserve"> Ставропольской городской Думы, </w:t>
      </w:r>
      <w:r>
        <w:rPr>
          <w:rFonts w:eastAsia="Calibri"/>
          <w:sz w:val="28"/>
          <w:szCs w:val="28"/>
        </w:rPr>
        <w:t xml:space="preserve">нуждающ</w:t>
      </w:r>
      <w:r>
        <w:rPr>
          <w:rFonts w:eastAsia="Calibri"/>
          <w:sz w:val="28"/>
          <w:szCs w:val="28"/>
        </w:rPr>
        <w:t xml:space="preserve">их</w:t>
      </w:r>
      <w:r>
        <w:rPr>
          <w:rFonts w:eastAsia="Calibri"/>
          <w:sz w:val="28"/>
          <w:szCs w:val="28"/>
        </w:rPr>
        <w:t xml:space="preserve">ся</w:t>
      </w:r>
      <w:r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приве</w:t>
      </w:r>
      <w:r>
        <w:rPr>
          <w:rFonts w:eastAsia="Calibri"/>
          <w:sz w:val="28"/>
          <w:szCs w:val="28"/>
        </w:rPr>
        <w:t xml:space="preserve">дении</w:t>
      </w:r>
      <w:r>
        <w:rPr>
          <w:rFonts w:eastAsia="Calibri"/>
          <w:sz w:val="28"/>
          <w:szCs w:val="28"/>
        </w:rPr>
        <w:t xml:space="preserve"> в соответствие </w:t>
      </w:r>
      <w:r>
        <w:rPr>
          <w:rFonts w:eastAsia="Calibri"/>
          <w:sz w:val="28"/>
          <w:szCs w:val="28"/>
        </w:rPr>
        <w:t xml:space="preserve">с действующим законодательством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правилами юридической техники, </w:t>
      </w:r>
      <w:r>
        <w:rPr>
          <w:sz w:val="28"/>
          <w:szCs w:val="28"/>
        </w:rPr>
        <w:t xml:space="preserve">а также устранени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их противоречий норм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тивным правовым актам равной юридической силы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Аналогичное количество решений Ставропольской городской Думы было включено и в План мониторинга в 2024 году.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анализа Плана мониторинга 8</w:t>
      </w:r>
      <w:r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Ставропольской городской Думы приведены в соответствие с</w:t>
      </w:r>
      <w:r>
        <w:rPr>
          <w:rFonts w:eastAsia="Calibri"/>
          <w:sz w:val="28"/>
          <w:szCs w:val="28"/>
        </w:rPr>
        <w:t xml:space="preserve"> действующим законодательством, </w:t>
      </w:r>
      <w:r>
        <w:rPr>
          <w:sz w:val="28"/>
          <w:szCs w:val="28"/>
        </w:rPr>
        <w:t xml:space="preserve">из них 4</w:t>
      </w:r>
      <w:r>
        <w:rPr>
          <w:sz w:val="28"/>
          <w:szCs w:val="28"/>
        </w:rPr>
        <w:t xml:space="preserve"> реш</w:t>
      </w:r>
      <w:r>
        <w:rPr>
          <w:sz w:val="28"/>
          <w:szCs w:val="28"/>
        </w:rPr>
        <w:t xml:space="preserve">ения</w:t>
      </w:r>
      <w:r>
        <w:rPr>
          <w:sz w:val="28"/>
          <w:szCs w:val="28"/>
        </w:rPr>
        <w:t xml:space="preserve"> Ставропольской городской Думы признаны</w:t>
      </w:r>
      <w:r>
        <w:rPr>
          <w:sz w:val="28"/>
          <w:szCs w:val="28"/>
        </w:rPr>
        <w:t xml:space="preserve"> утратившими силу</w:t>
      </w:r>
      <w:r>
        <w:rPr>
          <w:sz w:val="28"/>
          <w:szCs w:val="28"/>
        </w:rPr>
        <w:t xml:space="preserve"> (взамен 2 утративших</w:t>
      </w:r>
      <w:r>
        <w:rPr>
          <w:sz w:val="28"/>
          <w:szCs w:val="28"/>
        </w:rPr>
        <w:t xml:space="preserve"> силу решений</w:t>
      </w:r>
      <w:r>
        <w:rPr>
          <w:sz w:val="28"/>
          <w:szCs w:val="28"/>
        </w:rPr>
        <w:t xml:space="preserve"> приняты</w:t>
      </w:r>
      <w:r>
        <w:rPr>
          <w:sz w:val="28"/>
          <w:szCs w:val="28"/>
        </w:rPr>
        <w:t xml:space="preserve"> новы</w:t>
      </w:r>
      <w:r>
        <w:rPr>
          <w:sz w:val="28"/>
          <w:szCs w:val="28"/>
        </w:rPr>
        <w:t xml:space="preserve">е решения</w:t>
      </w:r>
      <w:r>
        <w:rPr>
          <w:sz w:val="28"/>
          <w:szCs w:val="28"/>
        </w:rPr>
        <w:t xml:space="preserve"> Ставропольской городской Думы, регулирующи</w:t>
      </w:r>
      <w:r>
        <w:rPr>
          <w:sz w:val="28"/>
          <w:szCs w:val="28"/>
        </w:rPr>
        <w:t xml:space="preserve">е аналогичные правоотношения)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4</w:t>
      </w:r>
      <w:r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Ставропольской городской Думы </w:t>
      </w:r>
      <w:r>
        <w:rPr>
          <w:sz w:val="28"/>
          <w:szCs w:val="28"/>
        </w:rPr>
        <w:t xml:space="preserve">вне</w:t>
      </w:r>
      <w:r>
        <w:rPr>
          <w:sz w:val="28"/>
          <w:szCs w:val="28"/>
        </w:rPr>
        <w:t xml:space="preserve">сены соответствующие изменения</w:t>
      </w:r>
      <w:r>
        <w:rPr>
          <w:sz w:val="28"/>
          <w:szCs w:val="28"/>
        </w:rPr>
        <w:t xml:space="preserve">, а 5</w:t>
      </w:r>
      <w:r>
        <w:rPr>
          <w:sz w:val="28"/>
          <w:szCs w:val="28"/>
        </w:rPr>
        <w:t xml:space="preserve"> решений</w:t>
      </w:r>
      <w:r>
        <w:rPr>
          <w:sz w:val="28"/>
          <w:szCs w:val="28"/>
        </w:rPr>
        <w:t xml:space="preserve"> Ставропольской городской Думы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ежеквартальн</w:t>
      </w:r>
      <w:r>
        <w:rPr>
          <w:sz w:val="28"/>
          <w:szCs w:val="28"/>
        </w:rPr>
        <w:t xml:space="preserve">ым мониторингом</w:t>
      </w:r>
      <w:r>
        <w:rPr>
          <w:sz w:val="28"/>
          <w:szCs w:val="28"/>
        </w:rPr>
        <w:t xml:space="preserve"> не нуждались во внесении в них изменений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Правовым управлением Ста</w:t>
      </w:r>
      <w:r>
        <w:rPr>
          <w:sz w:val="28"/>
          <w:szCs w:val="28"/>
        </w:rPr>
        <w:t xml:space="preserve">вропольской городской Думы из </w:t>
      </w:r>
      <w:r>
        <w:rPr>
          <w:sz w:val="28"/>
          <w:szCs w:val="28"/>
          <w:highlight w:val="white"/>
        </w:rPr>
        <w:t xml:space="preserve">13</w:t>
      </w:r>
      <w:r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содержащ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в Плане мониторинга, подготовлено для внесения субъектами правотворческой инициативы на рассмотрение Став</w:t>
      </w:r>
      <w:r>
        <w:rPr>
          <w:sz w:val="28"/>
          <w:szCs w:val="28"/>
        </w:rPr>
        <w:t xml:space="preserve">ропольской городской Думы 3</w:t>
      </w:r>
      <w:r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Ставропольской городской Думы.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в результате принятия отдельных федеральных законов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законов Ставропольского края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с целью уточнения отдельных решений Ставропольской городской Думы </w:t>
      </w:r>
      <w:r>
        <w:rPr>
          <w:sz w:val="28"/>
          <w:szCs w:val="28"/>
        </w:rPr>
        <w:t xml:space="preserve">правовым управлением Ставропольской городской Думы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 рамками Плана мониторинга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были разработаны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внесения субъектами </w:t>
      </w:r>
      <w:r>
        <w:rPr>
          <w:sz w:val="28"/>
          <w:szCs w:val="28"/>
        </w:rPr>
        <w:t xml:space="preserve">правот</w:t>
      </w:r>
      <w:r>
        <w:rPr>
          <w:sz w:val="28"/>
          <w:szCs w:val="28"/>
        </w:rPr>
        <w:t xml:space="preserve">ворческой инициативы на рассмотре</w:t>
      </w:r>
      <w:r>
        <w:rPr>
          <w:sz w:val="28"/>
          <w:szCs w:val="28"/>
        </w:rPr>
        <w:t xml:space="preserve">ние Ставропольской городской Думы 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Ставропольской городской Думы: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пункт 4 Положения «О флаге города Ставрополя»;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решение Ставропольской городской Думы «Об утверждении Порядка проведения конкурса по отбору кандидатур на должность главы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решение Ставропольской городской Думы «Об утверждении Положения о порядке проведения аттестации муниципальных служащих в органах местного самоуправления города Ставрополя»;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решение Ставропольской городской Думы «О наградах муниципального образования города Ставрополя Ставропольского края»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5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Таким образом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правовое управление Ставропольской городской Думы считает</w:t>
      </w:r>
      <w:r>
        <w:rPr>
          <w:sz w:val="28"/>
          <w:szCs w:val="28"/>
        </w:rPr>
        <w:t xml:space="preserve">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мониторинга </w:t>
      </w:r>
      <w:r>
        <w:rPr>
          <w:sz w:val="28"/>
          <w:szCs w:val="28"/>
        </w:rPr>
        <w:t xml:space="preserve">за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выполнен в полном объеме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5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5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5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правового управления             </w:t>
      </w:r>
      <w:r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Ж.А.Гунькова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even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</w:pPr>
    <w:r>
      <w:t xml:space="preserve">                                                         </w:t>
      <w:tab/>
      <w:tab/>
    </w: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5"/>
    <w:next w:val="84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link w:val="667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5"/>
    <w:next w:val="845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5"/>
    <w:next w:val="845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5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5"/>
    <w:next w:val="845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link w:val="687"/>
    <w:uiPriority w:val="10"/>
    <w:rPr>
      <w:sz w:val="48"/>
      <w:szCs w:val="48"/>
    </w:rPr>
  </w:style>
  <w:style w:type="paragraph" w:styleId="689">
    <w:name w:val="Subtitle"/>
    <w:basedOn w:val="845"/>
    <w:next w:val="845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link w:val="689"/>
    <w:uiPriority w:val="11"/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5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link w:val="695"/>
    <w:uiPriority w:val="99"/>
  </w:style>
  <w:style w:type="paragraph" w:styleId="697">
    <w:name w:val="Footer"/>
    <w:basedOn w:val="84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link w:val="697"/>
    <w:uiPriority w:val="99"/>
  </w:style>
  <w:style w:type="paragraph" w:styleId="699">
    <w:name w:val="Caption"/>
    <w:basedOn w:val="845"/>
    <w:next w:val="845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next w:val="845"/>
    <w:link w:val="845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46">
    <w:name w:val="Основной шрифт абзаца"/>
    <w:next w:val="846"/>
    <w:link w:val="845"/>
    <w:uiPriority w:val="1"/>
    <w:unhideWhenUsed/>
  </w:style>
  <w:style w:type="table" w:styleId="847">
    <w:name w:val="Обычная таблица"/>
    <w:next w:val="847"/>
    <w:link w:val="845"/>
    <w:uiPriority w:val="99"/>
    <w:semiHidden/>
    <w:unhideWhenUsed/>
    <w:qFormat/>
    <w:tblPr/>
  </w:style>
  <w:style w:type="numbering" w:styleId="848">
    <w:name w:val="Нет списка"/>
    <w:next w:val="848"/>
    <w:link w:val="845"/>
    <w:uiPriority w:val="99"/>
    <w:semiHidden/>
    <w:unhideWhenUsed/>
  </w:style>
  <w:style w:type="paragraph" w:styleId="849">
    <w:name w:val="Название"/>
    <w:basedOn w:val="845"/>
    <w:next w:val="849"/>
    <w:link w:val="850"/>
    <w:qFormat/>
    <w:pPr>
      <w:jc w:val="center"/>
    </w:pPr>
    <w:rPr>
      <w:rFonts w:eastAsia="Arial Unicode MS"/>
      <w:spacing w:val="-20"/>
      <w:sz w:val="36"/>
      <w:szCs w:val="20"/>
      <w:lang w:val="en-US"/>
    </w:rPr>
  </w:style>
  <w:style w:type="character" w:styleId="850">
    <w:name w:val="Название Знак"/>
    <w:next w:val="850"/>
    <w:link w:val="849"/>
    <w:rPr>
      <w:rFonts w:ascii="Times New Roman" w:hAnsi="Times New Roman" w:eastAsia="Arial Unicode MS" w:cs="Times New Roman"/>
      <w:spacing w:val="-20"/>
      <w:sz w:val="36"/>
      <w:szCs w:val="20"/>
      <w:lang w:eastAsia="ru-RU"/>
    </w:rPr>
  </w:style>
  <w:style w:type="paragraph" w:styleId="851">
    <w:name w:val="Верхний колонтитул"/>
    <w:basedOn w:val="845"/>
    <w:next w:val="851"/>
    <w:link w:val="85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2">
    <w:name w:val="Верхний колонтитул Знак"/>
    <w:next w:val="852"/>
    <w:link w:val="851"/>
    <w:uiPriority w:val="99"/>
    <w:rPr>
      <w:rFonts w:ascii="Times New Roman" w:hAnsi="Times New Roman" w:eastAsia="Times New Roman"/>
      <w:sz w:val="24"/>
      <w:szCs w:val="24"/>
    </w:rPr>
  </w:style>
  <w:style w:type="paragraph" w:styleId="853">
    <w:name w:val="Нижний колонтитул"/>
    <w:basedOn w:val="845"/>
    <w:next w:val="853"/>
    <w:link w:val="85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4">
    <w:name w:val="Нижний колонтитул Знак"/>
    <w:next w:val="854"/>
    <w:link w:val="853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55">
    <w:name w:val="ConsPlusNormal"/>
    <w:next w:val="855"/>
    <w:link w:val="845"/>
    <w:rPr>
      <w:rFonts w:ascii="Times New Roman" w:hAnsi="Times New Roman"/>
      <w:sz w:val="28"/>
      <w:szCs w:val="28"/>
      <w:lang w:val="ru-RU" w:eastAsia="ru-RU" w:bidi="ar-SA"/>
    </w:rPr>
  </w:style>
  <w:style w:type="character" w:styleId="856">
    <w:name w:val="Гиперссылка"/>
    <w:next w:val="856"/>
    <w:link w:val="845"/>
    <w:rPr>
      <w:rFonts w:cs="Times New Roman"/>
      <w:color w:val="0000ff"/>
      <w:u w:val="single"/>
    </w:rPr>
  </w:style>
  <w:style w:type="paragraph" w:styleId="857">
    <w:name w:val="ConsPlusTitle"/>
    <w:next w:val="857"/>
    <w:link w:val="845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58">
    <w:name w:val="Обычный (Интернет)"/>
    <w:basedOn w:val="845"/>
    <w:next w:val="858"/>
    <w:link w:val="845"/>
    <w:uiPriority w:val="99"/>
    <w:unhideWhenUsed/>
    <w:pPr>
      <w:spacing w:before="100" w:beforeAutospacing="1" w:after="100" w:afterAutospacing="1"/>
    </w:p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dcterms:created xsi:type="dcterms:W3CDTF">2017-03-21T12:53:00Z</dcterms:created>
  <dcterms:modified xsi:type="dcterms:W3CDTF">2026-03-26T13:31:28Z</dcterms:modified>
  <cp:version>1048576</cp:version>
</cp:coreProperties>
</file>