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widowControl w:val="1"/>
        <w:ind/>
        <w:jc w:val="center"/>
        <w:rPr>
          <w:b w:val="1"/>
          <w:sz w:val="28"/>
        </w:rPr>
      </w:pPr>
      <w:r>
        <w:rPr>
          <w:rFonts w:ascii="Times New Roman CYR" w:hAnsi="Times New Roman CYR"/>
          <w:b w:val="1"/>
          <w:sz w:val="28"/>
        </w:rPr>
        <w:t>ТЕРРИТОРИАЛЬНАЯ ИЗБИРАТЕЛЬНАЯ КОМИССИЯ № 2</w:t>
      </w:r>
    </w:p>
    <w:p w14:paraId="02000000">
      <w:pPr>
        <w:widowControl w:val="1"/>
        <w:ind/>
        <w:jc w:val="center"/>
        <w:rPr>
          <w:sz w:val="28"/>
        </w:rPr>
      </w:pPr>
      <w:r>
        <w:rPr>
          <w:b w:val="1"/>
          <w:sz w:val="28"/>
        </w:rPr>
        <w:t>ПРОМЫШЛЕННОГО РАЙОНА ГОРОДА СТАВРОПОЛЯ</w:t>
      </w:r>
    </w:p>
    <w:p w14:paraId="03000000">
      <w:pPr>
        <w:widowControl w:val="1"/>
        <w:ind/>
        <w:jc w:val="center"/>
        <w:rPr>
          <w:b w:val="1"/>
          <w:sz w:val="28"/>
        </w:rPr>
      </w:pPr>
    </w:p>
    <w:p w14:paraId="04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ПОСТАНОВЛЕНИЕ</w:t>
      </w:r>
    </w:p>
    <w:p w14:paraId="05000000">
      <w:pPr>
        <w:widowControl w:val="1"/>
        <w:ind/>
        <w:jc w:val="center"/>
        <w:rPr>
          <w:b w:val="1"/>
          <w:sz w:val="28"/>
        </w:rPr>
      </w:pPr>
    </w:p>
    <w:p w14:paraId="06000000">
      <w:pPr>
        <w:pStyle w:val="Style_1"/>
        <w:spacing w:line="216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31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октября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202</w:t>
      </w:r>
      <w:r>
        <w:rPr>
          <w:rFonts w:ascii="Times New Roman" w:hAnsi="Times New Roman"/>
          <w:color w:val="000000"/>
          <w:sz w:val="28"/>
        </w:rPr>
        <w:t>5</w:t>
      </w:r>
      <w:r>
        <w:rPr>
          <w:rFonts w:ascii="Times New Roman" w:hAnsi="Times New Roman"/>
          <w:color w:val="000000"/>
          <w:sz w:val="28"/>
        </w:rPr>
        <w:t xml:space="preserve"> г.                  </w:t>
      </w:r>
      <w:r>
        <w:rPr>
          <w:rFonts w:ascii="Times New Roman" w:hAnsi="Times New Roman"/>
          <w:color w:val="000000"/>
          <w:sz w:val="28"/>
        </w:rPr>
        <w:t xml:space="preserve">            </w:t>
      </w:r>
      <w:r>
        <w:rPr>
          <w:rFonts w:ascii="Times New Roman" w:hAnsi="Times New Roman"/>
          <w:color w:val="000000"/>
          <w:sz w:val="28"/>
        </w:rPr>
        <w:t xml:space="preserve">                              </w:t>
      </w:r>
      <w:r>
        <w:rPr>
          <w:rFonts w:ascii="Times New Roman" w:hAnsi="Times New Roman"/>
          <w:color w:val="000000"/>
          <w:sz w:val="28"/>
        </w:rPr>
        <w:t xml:space="preserve">                   </w:t>
      </w:r>
      <w:r>
        <w:rPr>
          <w:rFonts w:ascii="Times New Roman" w:hAnsi="Times New Roman"/>
          <w:color w:val="000000"/>
          <w:sz w:val="28"/>
        </w:rPr>
        <w:t xml:space="preserve">  </w:t>
      </w:r>
      <w:r>
        <w:rPr>
          <w:rFonts w:ascii="Times New Roman" w:hAnsi="Times New Roman"/>
          <w:color w:val="000000"/>
          <w:sz w:val="28"/>
        </w:rPr>
        <w:t xml:space="preserve"> № </w:t>
      </w:r>
      <w:r>
        <w:rPr>
          <w:rFonts w:ascii="Times New Roman" w:hAnsi="Times New Roman"/>
          <w:color w:val="000000"/>
          <w:sz w:val="28"/>
        </w:rPr>
        <w:t>88/564</w:t>
      </w:r>
    </w:p>
    <w:p w14:paraId="07000000">
      <w:pPr>
        <w:pStyle w:val="Style_1"/>
        <w:spacing w:line="216" w:lineRule="auto"/>
        <w:ind/>
        <w:jc w:val="center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г. Ставрополь</w:t>
      </w:r>
    </w:p>
    <w:p w14:paraId="08000000">
      <w:pPr>
        <w:pStyle w:val="Style_1"/>
        <w:ind w:firstLine="709"/>
        <w:jc w:val="both"/>
        <w:rPr>
          <w:rFonts w:ascii="Times New Roman" w:hAnsi="Times New Roman"/>
          <w:sz w:val="28"/>
        </w:rPr>
      </w:pPr>
    </w:p>
    <w:p w14:paraId="09000000">
      <w:pPr>
        <w:pStyle w:val="Style_1"/>
        <w:spacing w:line="216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формировании участков</w:t>
      </w:r>
      <w:r>
        <w:rPr>
          <w:rFonts w:ascii="Times New Roman" w:hAnsi="Times New Roman"/>
          <w:sz w:val="28"/>
        </w:rPr>
        <w:t>ой</w:t>
      </w:r>
      <w:r>
        <w:rPr>
          <w:rFonts w:ascii="Times New Roman" w:hAnsi="Times New Roman"/>
          <w:sz w:val="28"/>
        </w:rPr>
        <w:t xml:space="preserve"> избирательн</w:t>
      </w:r>
      <w:r>
        <w:rPr>
          <w:rFonts w:ascii="Times New Roman" w:hAnsi="Times New Roman"/>
          <w:sz w:val="28"/>
        </w:rPr>
        <w:t>ой</w:t>
      </w:r>
      <w:r>
        <w:rPr>
          <w:rFonts w:ascii="Times New Roman" w:hAnsi="Times New Roman"/>
          <w:sz w:val="28"/>
        </w:rPr>
        <w:t xml:space="preserve"> комисси</w:t>
      </w:r>
      <w:r>
        <w:rPr>
          <w:rFonts w:ascii="Times New Roman" w:hAnsi="Times New Roman"/>
          <w:sz w:val="28"/>
        </w:rPr>
        <w:t>и</w:t>
      </w:r>
    </w:p>
    <w:p w14:paraId="0A000000">
      <w:pPr>
        <w:pStyle w:val="Style_1"/>
        <w:spacing w:line="216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избирательн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участк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305</w:t>
      </w:r>
    </w:p>
    <w:p w14:paraId="0B000000">
      <w:pPr>
        <w:pStyle w:val="Style_1"/>
        <w:spacing w:line="216" w:lineRule="auto"/>
        <w:ind/>
        <w:jc w:val="both"/>
        <w:rPr>
          <w:rFonts w:ascii="Times New Roman" w:hAnsi="Times New Roman"/>
          <w:sz w:val="28"/>
        </w:rPr>
      </w:pPr>
    </w:p>
    <w:p w14:paraId="0C000000">
      <w:pPr>
        <w:pStyle w:val="Style_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Рассмотрев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предложения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кандидатурам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назначения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состав </w:t>
      </w:r>
      <w:r>
        <w:rPr>
          <w:rFonts w:ascii="Times New Roman" w:hAnsi="Times New Roman"/>
          <w:sz w:val="28"/>
        </w:rPr>
        <w:t>участков</w:t>
      </w:r>
      <w:r>
        <w:rPr>
          <w:rFonts w:ascii="Times New Roman" w:hAnsi="Times New Roman"/>
          <w:sz w:val="28"/>
        </w:rPr>
        <w:t xml:space="preserve">ой </w:t>
      </w:r>
      <w:r>
        <w:rPr>
          <w:rFonts w:ascii="Times New Roman" w:hAnsi="Times New Roman"/>
          <w:sz w:val="28"/>
        </w:rPr>
        <w:t>избирательн</w:t>
      </w:r>
      <w:r>
        <w:rPr>
          <w:rFonts w:ascii="Times New Roman" w:hAnsi="Times New Roman"/>
          <w:sz w:val="28"/>
        </w:rPr>
        <w:t xml:space="preserve">ой </w:t>
      </w:r>
      <w:r>
        <w:rPr>
          <w:rFonts w:ascii="Times New Roman" w:hAnsi="Times New Roman"/>
          <w:sz w:val="28"/>
        </w:rPr>
        <w:t>комисси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соответствии со </w:t>
      </w:r>
      <w:r>
        <w:rPr>
          <w:rStyle w:val="Style_2_ch"/>
          <w:rFonts w:ascii="Times New Roman" w:hAnsi="Times New Roman"/>
          <w:color w:val="000000"/>
          <w:sz w:val="28"/>
          <w:u w:val="none"/>
        </w:rPr>
        <w:fldChar w:fldCharType="begin"/>
      </w:r>
      <w:r>
        <w:rPr>
          <w:rStyle w:val="Style_2_ch"/>
          <w:rFonts w:ascii="Times New Roman" w:hAnsi="Times New Roman"/>
          <w:color w:val="000000"/>
          <w:sz w:val="28"/>
          <w:u w:val="none"/>
        </w:rPr>
        <w:instrText>HYPERLINK "consultantplus://offline/ref=7A2B409564DAF27EC9C1BE876BE3DED2ADCF9A309D7A654F675E7E186E1F5EA0AF76FA927666D6DFM7W4N"</w:instrText>
      </w:r>
      <w:r>
        <w:rPr>
          <w:rStyle w:val="Style_2_ch"/>
          <w:rFonts w:ascii="Times New Roman" w:hAnsi="Times New Roman"/>
          <w:color w:val="000000"/>
          <w:sz w:val="28"/>
          <w:u w:val="none"/>
        </w:rPr>
        <w:fldChar w:fldCharType="separate"/>
      </w:r>
      <w:r>
        <w:rPr>
          <w:rStyle w:val="Style_2_ch"/>
          <w:rFonts w:ascii="Times New Roman" w:hAnsi="Times New Roman"/>
          <w:color w:val="000000"/>
          <w:sz w:val="28"/>
          <w:u w:val="none"/>
        </w:rPr>
        <w:t>статьями 20</w:t>
      </w:r>
      <w:r>
        <w:rPr>
          <w:rStyle w:val="Style_2_ch"/>
          <w:rFonts w:ascii="Times New Roman" w:hAnsi="Times New Roman"/>
          <w:color w:val="000000"/>
          <w:sz w:val="28"/>
          <w:u w:val="none"/>
        </w:rPr>
        <w:fldChar w:fldCharType="end"/>
      </w:r>
      <w:r>
        <w:rPr>
          <w:rFonts w:ascii="Times New Roman" w:hAnsi="Times New Roman"/>
          <w:sz w:val="28"/>
        </w:rPr>
        <w:t xml:space="preserve">, </w:t>
      </w:r>
      <w:r>
        <w:rPr>
          <w:rStyle w:val="Style_2_ch"/>
          <w:rFonts w:ascii="Times New Roman" w:hAnsi="Times New Roman"/>
          <w:color w:val="000000"/>
          <w:sz w:val="28"/>
          <w:u w:val="none"/>
        </w:rPr>
        <w:fldChar w:fldCharType="begin"/>
      </w:r>
      <w:r>
        <w:rPr>
          <w:rStyle w:val="Style_2_ch"/>
          <w:rFonts w:ascii="Times New Roman" w:hAnsi="Times New Roman"/>
          <w:color w:val="000000"/>
          <w:sz w:val="28"/>
          <w:u w:val="none"/>
        </w:rPr>
        <w:instrText>HYPERLINK "consultantplus://offline/ref=7A2B409564DAF27EC9C1BE876BE3DED2ADCF9A309D7A654F675E7E186E1F5EA0AF76FA927666D6D9M7WFN"</w:instrText>
      </w:r>
      <w:r>
        <w:rPr>
          <w:rStyle w:val="Style_2_ch"/>
          <w:rFonts w:ascii="Times New Roman" w:hAnsi="Times New Roman"/>
          <w:color w:val="000000"/>
          <w:sz w:val="28"/>
          <w:u w:val="none"/>
        </w:rPr>
        <w:fldChar w:fldCharType="separate"/>
      </w:r>
      <w:r>
        <w:rPr>
          <w:rStyle w:val="Style_2_ch"/>
          <w:rFonts w:ascii="Times New Roman" w:hAnsi="Times New Roman"/>
          <w:color w:val="000000"/>
          <w:sz w:val="28"/>
          <w:u w:val="none"/>
        </w:rPr>
        <w:t>22</w:t>
      </w:r>
      <w:r>
        <w:rPr>
          <w:rStyle w:val="Style_2_ch"/>
          <w:rFonts w:ascii="Times New Roman" w:hAnsi="Times New Roman"/>
          <w:color w:val="000000"/>
          <w:sz w:val="28"/>
          <w:u w:val="none"/>
        </w:rPr>
        <w:fldChar w:fldCharType="end"/>
      </w:r>
      <w:r>
        <w:rPr>
          <w:rFonts w:ascii="Times New Roman" w:hAnsi="Times New Roman"/>
          <w:sz w:val="28"/>
        </w:rPr>
        <w:t xml:space="preserve">, </w:t>
      </w:r>
      <w:r>
        <w:rPr>
          <w:rStyle w:val="Style_2_ch"/>
          <w:rFonts w:ascii="Times New Roman" w:hAnsi="Times New Roman"/>
          <w:color w:val="000000"/>
          <w:sz w:val="28"/>
          <w:u w:val="none"/>
        </w:rPr>
        <w:fldChar w:fldCharType="begin"/>
      </w:r>
      <w:r>
        <w:rPr>
          <w:rStyle w:val="Style_2_ch"/>
          <w:rFonts w:ascii="Times New Roman" w:hAnsi="Times New Roman"/>
          <w:color w:val="000000"/>
          <w:sz w:val="28"/>
          <w:u w:val="none"/>
        </w:rPr>
        <w:instrText>HYPERLINK "consultantplus://offline/ref=7A2B409564DAF27EC9C1BE876BE3DED2ADCF9A309D7A654F675E7E186E1F5EA0AF76FA927666D7D9M7W5N"</w:instrText>
      </w:r>
      <w:r>
        <w:rPr>
          <w:rStyle w:val="Style_2_ch"/>
          <w:rFonts w:ascii="Times New Roman" w:hAnsi="Times New Roman"/>
          <w:color w:val="000000"/>
          <w:sz w:val="28"/>
          <w:u w:val="none"/>
        </w:rPr>
        <w:fldChar w:fldCharType="separate"/>
      </w:r>
      <w:r>
        <w:rPr>
          <w:rStyle w:val="Style_2_ch"/>
          <w:rFonts w:ascii="Times New Roman" w:hAnsi="Times New Roman"/>
          <w:color w:val="000000"/>
          <w:sz w:val="28"/>
          <w:u w:val="none"/>
        </w:rPr>
        <w:t>27</w:t>
      </w:r>
      <w:r>
        <w:rPr>
          <w:rStyle w:val="Style_2_ch"/>
          <w:rFonts w:ascii="Times New Roman" w:hAnsi="Times New Roman"/>
          <w:color w:val="000000"/>
          <w:sz w:val="28"/>
          <w:u w:val="none"/>
        </w:rPr>
        <w:fldChar w:fldCharType="end"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Федерального закона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от 12 июня 2002 года № 67-ФЗ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Об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основных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гарантиях избирательных прав и права 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участие в референдуме граждан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Российской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Федерации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Методическими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рекомендациями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порядке формирования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территориальных,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окружных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участковых избирательных комиссий, утвержденными постановлением </w:t>
      </w:r>
      <w:r>
        <w:rPr>
          <w:rFonts w:ascii="Times New Roman" w:hAnsi="Times New Roman"/>
          <w:sz w:val="28"/>
        </w:rPr>
        <w:t xml:space="preserve">Центральной избирательной комиссии Российской Федерации от </w:t>
      </w:r>
      <w:r>
        <w:rPr>
          <w:rFonts w:ascii="Times New Roman" w:hAnsi="Times New Roman"/>
          <w:sz w:val="28"/>
        </w:rPr>
        <w:t>15 марта 2023</w:t>
      </w:r>
      <w:r>
        <w:rPr>
          <w:rFonts w:ascii="Times New Roman" w:hAnsi="Times New Roman"/>
          <w:sz w:val="28"/>
        </w:rPr>
        <w:t xml:space="preserve"> года № </w:t>
      </w:r>
      <w:r>
        <w:rPr>
          <w:rFonts w:ascii="Times New Roman" w:hAnsi="Times New Roman"/>
          <w:sz w:val="28"/>
        </w:rPr>
        <w:t>111/863-8</w:t>
      </w:r>
      <w:r>
        <w:rPr>
          <w:rFonts w:ascii="Times New Roman" w:hAnsi="Times New Roman"/>
          <w:sz w:val="28"/>
        </w:rPr>
        <w:t>, подпунктом 3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 xml:space="preserve"> пункта 9 статьи 6 Закона Ставропольского края</w:t>
      </w:r>
      <w:r>
        <w:rPr>
          <w:rFonts w:ascii="Calibri" w:hAnsi="Calibri"/>
          <w:sz w:val="48"/>
        </w:rPr>
        <w:t xml:space="preserve"> </w:t>
      </w:r>
      <w:r>
        <w:rPr>
          <w:rFonts w:ascii="Times New Roman" w:hAnsi="Times New Roman"/>
          <w:sz w:val="28"/>
        </w:rPr>
        <w:t>от 19.11.2003 №</w:t>
      </w:r>
      <w:r>
        <w:rPr>
          <w:rFonts w:ascii="Times New Roman" w:hAnsi="Times New Roman"/>
          <w:sz w:val="28"/>
        </w:rPr>
        <w:t xml:space="preserve"> 42-кз</w:t>
      </w:r>
      <w:r>
        <w:rPr>
          <w:rFonts w:ascii="Times New Roman" w:hAnsi="Times New Roman"/>
          <w:sz w:val="28"/>
        </w:rPr>
        <w:t xml:space="preserve"> «О системе избирательных комиссий в Ставропольском крае</w:t>
      </w:r>
      <w:r>
        <w:rPr>
          <w:rFonts w:ascii="Times New Roman" w:hAnsi="Times New Roman"/>
          <w:sz w:val="28"/>
        </w:rPr>
        <w:t>»,</w:t>
      </w:r>
      <w:r>
        <w:rPr>
          <w:rFonts w:ascii="Times New Roman" w:hAnsi="Times New Roman"/>
          <w:sz w:val="28"/>
        </w:rPr>
        <w:t xml:space="preserve"> территориальная избирательная комиссия </w:t>
      </w:r>
      <w:r>
        <w:rPr>
          <w:rFonts w:ascii="Times New Roman" w:hAnsi="Times New Roman"/>
          <w:sz w:val="28"/>
        </w:rPr>
        <w:t>№ 2 Промышленного района города Ставрополя</w:t>
      </w:r>
    </w:p>
    <w:p w14:paraId="0D000000">
      <w:pPr>
        <w:pStyle w:val="Style_1"/>
        <w:spacing w:line="216" w:lineRule="auto"/>
        <w:ind/>
        <w:jc w:val="both"/>
        <w:rPr>
          <w:rFonts w:ascii="Times New Roman" w:hAnsi="Times New Roman"/>
          <w:sz w:val="28"/>
        </w:rPr>
      </w:pPr>
    </w:p>
    <w:p w14:paraId="0E000000">
      <w:pPr>
        <w:pStyle w:val="Style_1"/>
        <w:spacing w:line="21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ПОСТАНОВЛЯЕТ</w:t>
      </w:r>
      <w:r>
        <w:rPr>
          <w:rFonts w:ascii="Times New Roman" w:hAnsi="Times New Roman"/>
          <w:sz w:val="28"/>
        </w:rPr>
        <w:t>:</w:t>
      </w:r>
    </w:p>
    <w:p w14:paraId="0F000000">
      <w:pPr>
        <w:pStyle w:val="Style_1"/>
        <w:spacing w:line="216" w:lineRule="auto"/>
        <w:ind/>
        <w:jc w:val="both"/>
        <w:rPr>
          <w:rFonts w:ascii="Times New Roman" w:hAnsi="Times New Roman"/>
          <w:sz w:val="28"/>
        </w:rPr>
      </w:pPr>
    </w:p>
    <w:p w14:paraId="10000000">
      <w:pPr>
        <w:pStyle w:val="Style_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Сформировать участков</w:t>
      </w:r>
      <w:r>
        <w:rPr>
          <w:rFonts w:ascii="Times New Roman" w:hAnsi="Times New Roman"/>
          <w:sz w:val="28"/>
        </w:rPr>
        <w:t>ую</w:t>
      </w:r>
      <w:r>
        <w:rPr>
          <w:rFonts w:ascii="Times New Roman" w:hAnsi="Times New Roman"/>
          <w:sz w:val="28"/>
        </w:rPr>
        <w:t xml:space="preserve"> избирательн</w:t>
      </w:r>
      <w:r>
        <w:rPr>
          <w:rFonts w:ascii="Times New Roman" w:hAnsi="Times New Roman"/>
          <w:sz w:val="28"/>
        </w:rPr>
        <w:t xml:space="preserve">ую </w:t>
      </w:r>
      <w:r>
        <w:rPr>
          <w:rFonts w:ascii="Times New Roman" w:hAnsi="Times New Roman"/>
          <w:sz w:val="28"/>
        </w:rPr>
        <w:t>комисси</w:t>
      </w:r>
      <w:r>
        <w:rPr>
          <w:rFonts w:ascii="Times New Roman" w:hAnsi="Times New Roman"/>
          <w:sz w:val="28"/>
        </w:rPr>
        <w:t xml:space="preserve">ю </w:t>
      </w:r>
      <w:r>
        <w:rPr>
          <w:rFonts w:ascii="Times New Roman" w:hAnsi="Times New Roman"/>
          <w:sz w:val="28"/>
        </w:rPr>
        <w:t>избирательн</w:t>
      </w:r>
      <w:r>
        <w:rPr>
          <w:rFonts w:ascii="Times New Roman" w:hAnsi="Times New Roman"/>
          <w:sz w:val="28"/>
        </w:rPr>
        <w:t xml:space="preserve">ого </w:t>
      </w:r>
      <w:r>
        <w:rPr>
          <w:rFonts w:ascii="Times New Roman" w:hAnsi="Times New Roman"/>
          <w:sz w:val="28"/>
        </w:rPr>
        <w:t>участк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30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со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сроком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полномочий пять лет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2025 - 2030</w:t>
      </w:r>
      <w:r>
        <w:rPr>
          <w:rFonts w:ascii="Times New Roman" w:hAnsi="Times New Roman"/>
          <w:sz w:val="28"/>
        </w:rPr>
        <w:t xml:space="preserve"> гг.),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назначив в </w:t>
      </w:r>
      <w:r>
        <w:rPr>
          <w:rFonts w:ascii="Times New Roman" w:hAnsi="Times New Roman"/>
          <w:sz w:val="28"/>
        </w:rPr>
        <w:t xml:space="preserve">ее состав </w:t>
      </w:r>
      <w:r>
        <w:rPr>
          <w:rFonts w:ascii="Times New Roman" w:hAnsi="Times New Roman"/>
          <w:sz w:val="28"/>
        </w:rPr>
        <w:t>членами участков</w:t>
      </w:r>
      <w:r>
        <w:rPr>
          <w:rFonts w:ascii="Times New Roman" w:hAnsi="Times New Roman"/>
          <w:sz w:val="28"/>
        </w:rPr>
        <w:t xml:space="preserve">ой </w:t>
      </w:r>
      <w:r>
        <w:rPr>
          <w:rFonts w:ascii="Times New Roman" w:hAnsi="Times New Roman"/>
          <w:sz w:val="28"/>
        </w:rPr>
        <w:t>избирательн</w:t>
      </w:r>
      <w:r>
        <w:rPr>
          <w:rFonts w:ascii="Times New Roman" w:hAnsi="Times New Roman"/>
          <w:sz w:val="28"/>
        </w:rPr>
        <w:t>ой</w:t>
      </w:r>
      <w:r>
        <w:rPr>
          <w:rFonts w:ascii="Times New Roman" w:hAnsi="Times New Roman"/>
          <w:sz w:val="28"/>
        </w:rPr>
        <w:t xml:space="preserve"> комисси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с правом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решающего голоса лиц согласно </w:t>
      </w:r>
      <w:r>
        <w:rPr>
          <w:rFonts w:ascii="Times New Roman" w:hAnsi="Times New Roman"/>
          <w:sz w:val="28"/>
        </w:rPr>
        <w:t>приложению</w:t>
      </w:r>
      <w:r>
        <w:rPr>
          <w:rFonts w:ascii="Times New Roman" w:hAnsi="Times New Roman"/>
          <w:sz w:val="28"/>
        </w:rPr>
        <w:t>.</w:t>
      </w:r>
    </w:p>
    <w:p w14:paraId="11000000">
      <w:pPr>
        <w:pStyle w:val="Style_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Направить настоящее </w:t>
      </w:r>
      <w:r>
        <w:rPr>
          <w:rFonts w:ascii="Times New Roman" w:hAnsi="Times New Roman"/>
          <w:sz w:val="28"/>
        </w:rPr>
        <w:t>постановление</w:t>
      </w:r>
      <w:r>
        <w:rPr>
          <w:rFonts w:ascii="Times New Roman" w:hAnsi="Times New Roman"/>
          <w:sz w:val="28"/>
        </w:rPr>
        <w:t xml:space="preserve"> 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избирательную комиссию Ставропольского края.</w:t>
      </w:r>
    </w:p>
    <w:p w14:paraId="12000000">
      <w:pPr>
        <w:pStyle w:val="Style_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Направить </w:t>
      </w:r>
      <w:r>
        <w:rPr>
          <w:rFonts w:ascii="Times New Roman" w:hAnsi="Times New Roman"/>
          <w:sz w:val="28"/>
        </w:rPr>
        <w:t>копию</w:t>
      </w:r>
      <w:r>
        <w:rPr>
          <w:rFonts w:ascii="Times New Roman" w:hAnsi="Times New Roman"/>
          <w:sz w:val="28"/>
        </w:rPr>
        <w:t xml:space="preserve"> настоящего </w:t>
      </w:r>
      <w:r>
        <w:rPr>
          <w:rFonts w:ascii="Times New Roman" w:hAnsi="Times New Roman"/>
          <w:sz w:val="28"/>
        </w:rPr>
        <w:t>постановления</w:t>
      </w:r>
      <w:r>
        <w:rPr>
          <w:rFonts w:ascii="Times New Roman" w:hAnsi="Times New Roman"/>
          <w:sz w:val="28"/>
        </w:rPr>
        <w:t xml:space="preserve"> в участков</w:t>
      </w:r>
      <w:r>
        <w:rPr>
          <w:rFonts w:ascii="Times New Roman" w:hAnsi="Times New Roman"/>
          <w:sz w:val="28"/>
        </w:rPr>
        <w:t xml:space="preserve">ую </w:t>
      </w:r>
      <w:r>
        <w:rPr>
          <w:rFonts w:ascii="Times New Roman" w:hAnsi="Times New Roman"/>
          <w:sz w:val="28"/>
        </w:rPr>
        <w:t>избирательн</w:t>
      </w:r>
      <w:r>
        <w:rPr>
          <w:rFonts w:ascii="Times New Roman" w:hAnsi="Times New Roman"/>
          <w:sz w:val="28"/>
        </w:rPr>
        <w:t>ую</w:t>
      </w:r>
      <w:r>
        <w:rPr>
          <w:rFonts w:ascii="Times New Roman" w:hAnsi="Times New Roman"/>
          <w:sz w:val="28"/>
        </w:rPr>
        <w:t xml:space="preserve"> комисси</w:t>
      </w:r>
      <w:r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>.</w:t>
      </w:r>
    </w:p>
    <w:p w14:paraId="13000000">
      <w:pPr>
        <w:pStyle w:val="Style_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>
        <w:rPr>
          <w:rFonts w:ascii="Times New Roman" w:hAnsi="Times New Roman"/>
          <w:sz w:val="28"/>
        </w:rPr>
        <w:t xml:space="preserve">Разместить настоящее постановление на официальном сайте Ставропольской городской Думы в разделе территориальной избирательной комиссии № 2 Промышленного района города Ставрополя </w:t>
      </w:r>
      <w:r>
        <w:rPr>
          <w:rFonts w:ascii="Times New Roman" w:hAnsi="Times New Roman"/>
          <w:sz w:val="28"/>
        </w:rPr>
        <w:t>в информационно- телекоммуникационной сети «Интернет».</w:t>
      </w:r>
    </w:p>
    <w:p w14:paraId="14000000">
      <w:pPr>
        <w:pStyle w:val="Style_1"/>
        <w:spacing w:line="216" w:lineRule="auto"/>
        <w:ind/>
        <w:rPr>
          <w:rFonts w:ascii="Times New Roman" w:hAnsi="Times New Roman"/>
          <w:sz w:val="28"/>
        </w:rPr>
      </w:pPr>
    </w:p>
    <w:p w14:paraId="15000000">
      <w:pPr>
        <w:pStyle w:val="Style_1"/>
        <w:spacing w:line="21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территориальной</w:t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                                                </w:t>
      </w:r>
    </w:p>
    <w:p w14:paraId="16000000">
      <w:pPr>
        <w:pStyle w:val="Style_1"/>
        <w:spacing w:line="216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избирательной комиссии</w:t>
      </w:r>
      <w:r>
        <w:rPr>
          <w:rFonts w:ascii="Times New Roman" w:hAnsi="Times New Roman"/>
          <w:sz w:val="28"/>
        </w:rPr>
        <w:t xml:space="preserve">                     </w:t>
      </w:r>
      <w:r>
        <w:rPr>
          <w:rFonts w:ascii="Times New Roman" w:hAnsi="Times New Roman"/>
          <w:sz w:val="28"/>
        </w:rPr>
        <w:t xml:space="preserve">                                    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С.А. Казаков</w:t>
      </w:r>
    </w:p>
    <w:p w14:paraId="17000000">
      <w:pPr>
        <w:pStyle w:val="Style_1"/>
        <w:spacing w:line="216" w:lineRule="auto"/>
        <w:ind/>
        <w:rPr>
          <w:rFonts w:ascii="Times New Roman" w:hAnsi="Times New Roman"/>
          <w:sz w:val="28"/>
        </w:rPr>
      </w:pPr>
    </w:p>
    <w:p w14:paraId="18000000">
      <w:pPr>
        <w:pStyle w:val="Style_1"/>
        <w:spacing w:line="21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Секретарь территориальной</w:t>
      </w:r>
      <w:r>
        <w:rPr>
          <w:rFonts w:ascii="Times New Roman" w:hAnsi="Times New Roman"/>
          <w:sz w:val="28"/>
        </w:rPr>
        <w:t xml:space="preserve">         </w:t>
      </w:r>
    </w:p>
    <w:p w14:paraId="19000000">
      <w:pPr>
        <w:pStyle w:val="Style_1"/>
        <w:spacing w:line="21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избирательной комиссии</w:t>
      </w:r>
      <w:r>
        <w:rPr>
          <w:rFonts w:ascii="Times New Roman" w:hAnsi="Times New Roman"/>
          <w:sz w:val="28"/>
        </w:rPr>
        <w:t xml:space="preserve">                   </w:t>
      </w:r>
      <w:r>
        <w:rPr>
          <w:rFonts w:ascii="Times New Roman" w:hAnsi="Times New Roman"/>
          <w:sz w:val="28"/>
        </w:rPr>
        <w:t xml:space="preserve">                                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Е.А. Гончаренко</w:t>
      </w:r>
    </w:p>
    <w:p w14:paraId="1A000000">
      <w:pPr>
        <w:widowControl w:val="1"/>
        <w:ind/>
        <w:jc w:val="both"/>
        <w:rPr>
          <w:sz w:val="24"/>
        </w:rPr>
      </w:pPr>
      <w:bookmarkStart w:id="1" w:name="P42"/>
      <w:bookmarkEnd w:id="1"/>
    </w:p>
    <w:p w14:paraId="1B000000">
      <w:pPr>
        <w:widowControl w:val="1"/>
        <w:ind/>
        <w:jc w:val="both"/>
        <w:rPr>
          <w:sz w:val="24"/>
        </w:rPr>
      </w:pPr>
    </w:p>
    <w:p w14:paraId="1C000000">
      <w:pPr>
        <w:pStyle w:val="Style_3"/>
        <w:ind w:firstLine="0" w:left="4820"/>
        <w:jc w:val="center"/>
        <w:outlineLvl w:val="1"/>
        <w:rPr>
          <w:rFonts w:ascii="Times New Roman" w:hAnsi="Times New Roman"/>
        </w:rPr>
      </w:pPr>
    </w:p>
    <w:p w14:paraId="1D000000">
      <w:pPr>
        <w:pStyle w:val="Style_3"/>
        <w:ind w:firstLine="0" w:left="4820"/>
        <w:jc w:val="center"/>
        <w:outlineLvl w:val="1"/>
        <w:rPr>
          <w:rFonts w:ascii="Times New Roman" w:hAnsi="Times New Roman"/>
        </w:rPr>
      </w:pPr>
    </w:p>
    <w:p w14:paraId="1E000000">
      <w:pPr>
        <w:pStyle w:val="Style_3"/>
        <w:ind w:firstLine="0" w:left="4820"/>
        <w:jc w:val="center"/>
        <w:outlineLvl w:val="1"/>
        <w:rPr>
          <w:rFonts w:ascii="Times New Roman" w:hAnsi="Times New Roman"/>
        </w:rPr>
      </w:pPr>
    </w:p>
    <w:p w14:paraId="1F000000">
      <w:pPr>
        <w:pStyle w:val="Style_3"/>
        <w:ind w:firstLine="0" w:left="4820"/>
        <w:jc w:val="center"/>
        <w:outlineLvl w:val="1"/>
        <w:rPr>
          <w:rFonts w:ascii="Times New Roman" w:hAnsi="Times New Roman"/>
        </w:rPr>
      </w:pPr>
    </w:p>
    <w:p w14:paraId="20000000">
      <w:pPr>
        <w:pStyle w:val="Style_3"/>
        <w:ind w:firstLine="0" w:left="4820"/>
        <w:jc w:val="center"/>
        <w:outlineLvl w:val="1"/>
        <w:rPr>
          <w:rFonts w:ascii="Times New Roman" w:hAnsi="Times New Roman"/>
        </w:rPr>
      </w:pPr>
    </w:p>
    <w:p w14:paraId="21000000">
      <w:pPr>
        <w:pStyle w:val="Style_3"/>
        <w:ind w:firstLine="0" w:left="4820"/>
        <w:jc w:val="center"/>
        <w:outlineLvl w:val="1"/>
        <w:rPr>
          <w:rFonts w:ascii="Times New Roman" w:hAnsi="Times New Roman"/>
        </w:rPr>
      </w:pPr>
    </w:p>
    <w:p w14:paraId="22000000">
      <w:pPr>
        <w:spacing w:line="240" w:lineRule="exact"/>
        <w:ind w:firstLine="0" w:left="4253"/>
        <w:jc w:val="center"/>
      </w:pPr>
      <w:r>
        <w:t xml:space="preserve">Приложение </w:t>
      </w:r>
    </w:p>
    <w:p w14:paraId="23000000">
      <w:pPr>
        <w:spacing w:line="240" w:lineRule="exact"/>
        <w:ind w:firstLine="0" w:left="4253"/>
        <w:jc w:val="center"/>
        <w:rPr>
          <w:color w:val="000000"/>
        </w:rPr>
      </w:pPr>
      <w:r>
        <w:t>к постановлению</w:t>
      </w:r>
      <w:r>
        <w:t xml:space="preserve"> </w:t>
      </w:r>
      <w:r>
        <w:t xml:space="preserve">территориальной избирательной комиссии </w:t>
      </w:r>
      <w:r>
        <w:t>№ 2</w:t>
      </w:r>
      <w:r>
        <w:t xml:space="preserve"> Промышленного района</w:t>
      </w:r>
      <w:r>
        <w:t xml:space="preserve"> </w:t>
      </w:r>
      <w:r>
        <w:t xml:space="preserve">города Ставрополя </w:t>
      </w:r>
      <w:r>
        <w:t>от</w:t>
      </w:r>
      <w:r>
        <w:rPr>
          <w:color w:val="000000"/>
        </w:rPr>
        <w:t xml:space="preserve"> </w:t>
      </w:r>
      <w:r>
        <w:rPr>
          <w:color w:val="000000"/>
        </w:rPr>
        <w:t>31</w:t>
      </w:r>
      <w:r>
        <w:rPr>
          <w:color w:val="000000"/>
        </w:rPr>
        <w:t>.10.</w:t>
      </w:r>
      <w:r>
        <w:rPr>
          <w:color w:val="000000"/>
        </w:rPr>
        <w:t>202</w:t>
      </w:r>
      <w:r>
        <w:rPr>
          <w:color w:val="000000"/>
        </w:rPr>
        <w:t>5</w:t>
      </w:r>
      <w:r>
        <w:rPr>
          <w:color w:val="000000"/>
        </w:rPr>
        <w:t xml:space="preserve"> № </w:t>
      </w:r>
      <w:r>
        <w:rPr>
          <w:color w:val="000000"/>
        </w:rPr>
        <w:t>88/564</w:t>
      </w:r>
      <w:r>
        <w:rPr>
          <w:color w:val="000000"/>
        </w:rPr>
        <w:t xml:space="preserve"> </w:t>
      </w:r>
    </w:p>
    <w:p w14:paraId="24000000">
      <w:pPr>
        <w:pStyle w:val="Style_4"/>
        <w:spacing w:line="240" w:lineRule="exact"/>
        <w:ind/>
      </w:pPr>
    </w:p>
    <w:p w14:paraId="25000000">
      <w:pPr>
        <w:pStyle w:val="Style_4"/>
      </w:pPr>
    </w:p>
    <w:p w14:paraId="26000000">
      <w:pPr>
        <w:spacing w:line="240" w:lineRule="exact"/>
        <w:ind/>
        <w:jc w:val="center"/>
        <w:rPr>
          <w:sz w:val="28"/>
        </w:rPr>
      </w:pPr>
      <w:r>
        <w:rPr>
          <w:sz w:val="28"/>
        </w:rPr>
        <w:t xml:space="preserve">Список членов участковой избирательной комиссии избирательного участка № </w:t>
      </w:r>
      <w:r>
        <w:rPr>
          <w:sz w:val="28"/>
        </w:rPr>
        <w:t>1</w:t>
      </w:r>
      <w:r>
        <w:rPr>
          <w:sz w:val="28"/>
        </w:rPr>
        <w:t>305</w:t>
      </w:r>
      <w:r>
        <w:rPr>
          <w:sz w:val="28"/>
        </w:rPr>
        <w:t xml:space="preserve"> с правом решающего голоса</w:t>
      </w:r>
    </w:p>
    <w:p w14:paraId="27000000">
      <w:pPr>
        <w:ind/>
        <w:jc w:val="center"/>
        <w:rPr>
          <w:sz w:val="28"/>
        </w:rPr>
      </w:pPr>
    </w:p>
    <w:p w14:paraId="28000000">
      <w:pPr>
        <w:ind w:firstLine="708"/>
        <w:jc w:val="both"/>
        <w:rPr>
          <w:sz w:val="28"/>
        </w:rPr>
      </w:pPr>
      <w:r>
        <w:rPr>
          <w:sz w:val="28"/>
        </w:rPr>
        <w:t xml:space="preserve">Место нахождения участковой избирательной комиссии и помещения для голосования: муниципальное бюджетное общеобразовательное учреждение средняя общеобразовательная школа № </w:t>
      </w:r>
      <w:r>
        <w:rPr>
          <w:sz w:val="28"/>
        </w:rPr>
        <w:t>50</w:t>
      </w:r>
      <w:r>
        <w:rPr>
          <w:sz w:val="28"/>
        </w:rPr>
        <w:t xml:space="preserve"> города Ставрополя (</w:t>
      </w:r>
      <w:r>
        <w:rPr>
          <w:color w:val="000000"/>
          <w:sz w:val="28"/>
        </w:rPr>
        <w:t>ул. Пирогова, 5Г</w:t>
      </w:r>
      <w:r>
        <w:rPr>
          <w:sz w:val="28"/>
        </w:rPr>
        <w:t>)</w:t>
      </w:r>
    </w:p>
    <w:p w14:paraId="29000000">
      <w:pPr>
        <w:ind w:firstLine="708"/>
        <w:jc w:val="both"/>
        <w:rPr>
          <w:sz w:val="28"/>
        </w:rPr>
      </w:pPr>
    </w:p>
    <w:p w14:paraId="2A000000">
      <w:pPr>
        <w:ind w:firstLine="708"/>
        <w:jc w:val="both"/>
        <w:rPr>
          <w:sz w:val="28"/>
        </w:rPr>
      </w:pPr>
      <w:r>
        <w:rPr>
          <w:sz w:val="28"/>
        </w:rPr>
        <w:t>Количественный состав комиссии - 16 членов</w:t>
      </w:r>
    </w:p>
    <w:p w14:paraId="2B000000">
      <w:pPr>
        <w:ind/>
        <w:jc w:val="both"/>
        <w:rPr>
          <w:sz w:val="28"/>
        </w:rPr>
      </w:pPr>
    </w:p>
    <w:p w14:paraId="2C000000">
      <w:pPr>
        <w:ind w:firstLine="708"/>
        <w:jc w:val="both"/>
        <w:rPr>
          <w:sz w:val="28"/>
        </w:rPr>
      </w:pPr>
      <w:r>
        <w:rPr>
          <w:sz w:val="28"/>
        </w:rPr>
        <w:t>Срок полномочий пять лет (202</w:t>
      </w:r>
      <w:r>
        <w:rPr>
          <w:sz w:val="28"/>
        </w:rPr>
        <w:t>5</w:t>
      </w:r>
      <w:r>
        <w:rPr>
          <w:sz w:val="28"/>
        </w:rPr>
        <w:t xml:space="preserve"> - 20</w:t>
      </w:r>
      <w:r>
        <w:rPr>
          <w:sz w:val="28"/>
        </w:rPr>
        <w:t>30</w:t>
      </w:r>
      <w:r>
        <w:rPr>
          <w:sz w:val="28"/>
        </w:rPr>
        <w:t xml:space="preserve"> гг.)</w:t>
      </w:r>
    </w:p>
    <w:p w14:paraId="2D000000">
      <w:pPr>
        <w:widowControl w:val="1"/>
        <w:ind/>
        <w:jc w:val="both"/>
        <w:rPr>
          <w:sz w:val="28"/>
        </w:rPr>
      </w:pPr>
    </w:p>
    <w:tbl>
      <w:tblPr>
        <w:tblStyle w:val="Style_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48"/>
        <w:gridCol w:w="4138"/>
        <w:gridCol w:w="4678"/>
      </w:tblGrid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E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type="dxa" w:w="4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F000000">
            <w:pPr>
              <w:widowControl w:val="1"/>
              <w:ind/>
              <w:jc w:val="center"/>
              <w:rPr>
                <w:sz w:val="24"/>
              </w:rPr>
            </w:pPr>
            <w: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0000000">
            <w:pPr>
              <w:widowControl w:val="1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Субъект предложения кандидатуры в состав избирательной комиссии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1000000">
            <w:pPr>
              <w:widowControl w:val="1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type="dxa" w:w="4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2000000">
            <w:pPr>
              <w:widowControl w:val="1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3000000">
            <w:pPr>
              <w:widowControl w:val="1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4000000">
            <w:pPr>
              <w:widowControl w:val="1"/>
              <w:numPr>
                <w:ilvl w:val="0"/>
                <w:numId w:val="1"/>
              </w:numPr>
              <w:tabs>
                <w:tab w:leader="none" w:pos="720" w:val="left"/>
                <w:tab w:leader="none" w:pos="786" w:val="clear"/>
              </w:tabs>
              <w:ind w:hanging="357" w:left="300"/>
              <w:rPr>
                <w:color w:val="000000"/>
                <w:sz w:val="24"/>
              </w:rPr>
            </w:pPr>
          </w:p>
        </w:tc>
        <w:tc>
          <w:tcPr>
            <w:tcW w:type="dxa" w:w="4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5000000">
            <w:pPr>
              <w:widowControl w:val="1"/>
              <w:ind/>
              <w:rPr>
                <w:sz w:val="24"/>
              </w:rPr>
            </w:pPr>
            <w:r>
              <w:rPr>
                <w:sz w:val="24"/>
              </w:rPr>
              <w:t>Брежнева Юлия Николаевна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6000000">
            <w:pPr>
              <w:widowControl w:val="1"/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собрание избирателей по месту работы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7000000">
            <w:pPr>
              <w:widowControl w:val="1"/>
              <w:numPr>
                <w:ilvl w:val="0"/>
                <w:numId w:val="1"/>
              </w:numPr>
              <w:tabs>
                <w:tab w:leader="none" w:pos="720" w:val="left"/>
                <w:tab w:leader="none" w:pos="786" w:val="clear"/>
              </w:tabs>
              <w:ind w:hanging="357" w:left="300"/>
              <w:rPr>
                <w:color w:val="000000"/>
                <w:sz w:val="24"/>
              </w:rPr>
            </w:pPr>
          </w:p>
        </w:tc>
        <w:tc>
          <w:tcPr>
            <w:tcW w:type="dxa" w:w="4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8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>Водолазская Наталья Петровна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9000000">
            <w:pPr>
              <w:spacing w:line="240" w:lineRule="exact"/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собрание избирателей по месту работы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A000000">
            <w:pPr>
              <w:widowControl w:val="1"/>
              <w:numPr>
                <w:ilvl w:val="0"/>
                <w:numId w:val="1"/>
              </w:numPr>
              <w:tabs>
                <w:tab w:leader="none" w:pos="720" w:val="left"/>
                <w:tab w:leader="none" w:pos="786" w:val="clear"/>
              </w:tabs>
              <w:ind w:hanging="357" w:left="300"/>
              <w:rPr>
                <w:color w:val="000000"/>
                <w:sz w:val="24"/>
              </w:rPr>
            </w:pPr>
          </w:p>
        </w:tc>
        <w:tc>
          <w:tcPr>
            <w:tcW w:type="dxa" w:w="4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B000000">
            <w:pPr>
              <w:widowControl w:val="1"/>
              <w:ind/>
              <w:rPr>
                <w:sz w:val="24"/>
              </w:rPr>
            </w:pPr>
            <w:r>
              <w:rPr>
                <w:sz w:val="24"/>
              </w:rPr>
              <w:t xml:space="preserve">Гавриш Александра Викторовна 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C000000">
            <w:pPr>
              <w:widowControl w:val="1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4"/>
              </w:rPr>
              <w:t xml:space="preserve">собрание избирателей по месту работы 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D000000">
            <w:pPr>
              <w:widowControl w:val="1"/>
              <w:numPr>
                <w:ilvl w:val="0"/>
                <w:numId w:val="1"/>
              </w:numPr>
              <w:tabs>
                <w:tab w:leader="none" w:pos="720" w:val="left"/>
                <w:tab w:leader="none" w:pos="786" w:val="clear"/>
              </w:tabs>
              <w:ind w:hanging="357" w:left="300"/>
              <w:rPr>
                <w:color w:val="000000"/>
                <w:sz w:val="24"/>
              </w:rPr>
            </w:pPr>
          </w:p>
        </w:tc>
        <w:tc>
          <w:tcPr>
            <w:tcW w:type="dxa" w:w="4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E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>Горошко Наталья Сергеевна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F000000">
            <w:pPr>
              <w:spacing w:line="240" w:lineRule="exact"/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собрание избирателей по месту работы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0000000">
            <w:pPr>
              <w:widowControl w:val="1"/>
              <w:numPr>
                <w:ilvl w:val="0"/>
                <w:numId w:val="1"/>
              </w:numPr>
              <w:tabs>
                <w:tab w:leader="none" w:pos="720" w:val="left"/>
                <w:tab w:leader="none" w:pos="786" w:val="clear"/>
              </w:tabs>
              <w:ind w:hanging="357" w:left="300"/>
              <w:rPr>
                <w:color w:val="000000"/>
                <w:sz w:val="24"/>
              </w:rPr>
            </w:pPr>
          </w:p>
        </w:tc>
        <w:tc>
          <w:tcPr>
            <w:tcW w:type="dxa" w:w="4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1000000">
            <w:pPr>
              <w:widowControl w:val="1"/>
              <w:ind/>
              <w:rPr>
                <w:sz w:val="24"/>
              </w:rPr>
            </w:pPr>
            <w:r>
              <w:rPr>
                <w:sz w:val="24"/>
              </w:rPr>
              <w:t xml:space="preserve">Евстафиади Алексей Павлович 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2000000">
            <w:pPr>
              <w:widowControl w:val="1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4"/>
              </w:rPr>
              <w:t xml:space="preserve">собрание избирателей по месту работы 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3000000">
            <w:pPr>
              <w:widowControl w:val="1"/>
              <w:numPr>
                <w:ilvl w:val="0"/>
                <w:numId w:val="1"/>
              </w:numPr>
              <w:tabs>
                <w:tab w:leader="none" w:pos="720" w:val="left"/>
                <w:tab w:leader="none" w:pos="786" w:val="clear"/>
              </w:tabs>
              <w:ind w:hanging="357" w:left="300"/>
              <w:rPr>
                <w:color w:val="000000"/>
                <w:sz w:val="24"/>
              </w:rPr>
            </w:pPr>
          </w:p>
        </w:tc>
        <w:tc>
          <w:tcPr>
            <w:tcW w:type="dxa" w:w="4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4000000">
            <w:pPr>
              <w:widowControl w:val="1"/>
              <w:ind/>
              <w:rPr>
                <w:sz w:val="24"/>
              </w:rPr>
            </w:pPr>
            <w:r>
              <w:rPr>
                <w:sz w:val="24"/>
              </w:rPr>
              <w:t xml:space="preserve">Еремина Ирина Анатольевна 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5000000">
            <w:pPr>
              <w:widowControl w:val="1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4"/>
              </w:rPr>
              <w:t xml:space="preserve">собрание избирателей по месту работы 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6000000">
            <w:pPr>
              <w:widowControl w:val="1"/>
              <w:numPr>
                <w:ilvl w:val="0"/>
                <w:numId w:val="1"/>
              </w:numPr>
              <w:tabs>
                <w:tab w:leader="none" w:pos="720" w:val="left"/>
                <w:tab w:leader="none" w:pos="786" w:val="clear"/>
              </w:tabs>
              <w:ind w:hanging="357" w:left="300"/>
              <w:rPr>
                <w:color w:val="000000"/>
                <w:sz w:val="24"/>
              </w:rPr>
            </w:pPr>
          </w:p>
        </w:tc>
        <w:tc>
          <w:tcPr>
            <w:tcW w:type="dxa" w:w="4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7000000">
            <w:pPr>
              <w:widowControl w:val="1"/>
              <w:ind/>
              <w:rPr>
                <w:sz w:val="24"/>
              </w:rPr>
            </w:pPr>
            <w:r>
              <w:rPr>
                <w:sz w:val="24"/>
              </w:rPr>
              <w:t xml:space="preserve">Захарова Лариса Михайловна 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8000000">
            <w:pPr>
              <w:widowControl w:val="1"/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собрание избирателей по месту работы 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9000000">
            <w:pPr>
              <w:widowControl w:val="1"/>
              <w:numPr>
                <w:ilvl w:val="0"/>
                <w:numId w:val="1"/>
              </w:numPr>
              <w:tabs>
                <w:tab w:leader="none" w:pos="720" w:val="left"/>
                <w:tab w:leader="none" w:pos="786" w:val="clear"/>
              </w:tabs>
              <w:ind w:hanging="357" w:left="300"/>
              <w:rPr>
                <w:color w:val="000000"/>
                <w:sz w:val="24"/>
              </w:rPr>
            </w:pPr>
          </w:p>
        </w:tc>
        <w:tc>
          <w:tcPr>
            <w:tcW w:type="dxa" w:w="4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A000000">
            <w:pPr>
              <w:widowControl w:val="1"/>
              <w:ind/>
              <w:rPr>
                <w:sz w:val="24"/>
              </w:rPr>
            </w:pPr>
            <w:r>
              <w:rPr>
                <w:sz w:val="24"/>
              </w:rPr>
              <w:t>Коломийченко Владимир Валерьевич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B000000">
            <w:pPr>
              <w:widowControl w:val="1"/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собрание избирателей по месту работы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C000000">
            <w:pPr>
              <w:widowControl w:val="1"/>
              <w:numPr>
                <w:ilvl w:val="0"/>
                <w:numId w:val="1"/>
              </w:numPr>
              <w:tabs>
                <w:tab w:leader="none" w:pos="720" w:val="left"/>
                <w:tab w:leader="none" w:pos="786" w:val="clear"/>
              </w:tabs>
              <w:ind w:hanging="357" w:left="300"/>
              <w:rPr>
                <w:color w:val="000000"/>
                <w:sz w:val="24"/>
              </w:rPr>
            </w:pPr>
          </w:p>
        </w:tc>
        <w:tc>
          <w:tcPr>
            <w:tcW w:type="dxa" w:w="4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D000000">
            <w:pPr>
              <w:widowControl w:val="1"/>
              <w:ind/>
              <w:rPr>
                <w:sz w:val="24"/>
              </w:rPr>
            </w:pPr>
            <w:r>
              <w:rPr>
                <w:sz w:val="24"/>
              </w:rPr>
              <w:t xml:space="preserve">Кушумская Ольга Александровна 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E000000">
            <w:pPr>
              <w:widowControl w:val="1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4"/>
              </w:rPr>
              <w:t xml:space="preserve">собрание избирателей по месту работы 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F000000">
            <w:pPr>
              <w:widowControl w:val="1"/>
              <w:numPr>
                <w:ilvl w:val="0"/>
                <w:numId w:val="1"/>
              </w:numPr>
              <w:tabs>
                <w:tab w:leader="none" w:pos="720" w:val="left"/>
                <w:tab w:leader="none" w:pos="786" w:val="clear"/>
              </w:tabs>
              <w:ind w:hanging="357" w:left="300"/>
              <w:rPr>
                <w:color w:val="000000"/>
                <w:sz w:val="24"/>
              </w:rPr>
            </w:pPr>
          </w:p>
        </w:tc>
        <w:tc>
          <w:tcPr>
            <w:tcW w:type="dxa" w:w="4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0000000">
            <w:pPr>
              <w:widowControl w:val="1"/>
              <w:ind/>
              <w:rPr>
                <w:sz w:val="24"/>
              </w:rPr>
            </w:pPr>
            <w:r>
              <w:rPr>
                <w:sz w:val="24"/>
              </w:rPr>
              <w:t xml:space="preserve">Луньков Алексей Александрович 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1000000">
            <w:pPr>
              <w:widowControl w:val="1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4"/>
              </w:rPr>
              <w:t xml:space="preserve">собрание избирателей по месту работы 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2000000">
            <w:pPr>
              <w:widowControl w:val="1"/>
              <w:numPr>
                <w:ilvl w:val="0"/>
                <w:numId w:val="1"/>
              </w:numPr>
              <w:tabs>
                <w:tab w:leader="none" w:pos="720" w:val="left"/>
                <w:tab w:leader="none" w:pos="786" w:val="clear"/>
              </w:tabs>
              <w:ind w:hanging="357" w:left="300"/>
              <w:rPr>
                <w:color w:val="000000"/>
                <w:sz w:val="24"/>
              </w:rPr>
            </w:pPr>
          </w:p>
        </w:tc>
        <w:tc>
          <w:tcPr>
            <w:tcW w:type="dxa" w:w="4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3000000">
            <w:pPr>
              <w:widowControl w:val="1"/>
              <w:ind/>
              <w:rPr>
                <w:sz w:val="24"/>
              </w:rPr>
            </w:pPr>
            <w:r>
              <w:rPr>
                <w:sz w:val="24"/>
              </w:rPr>
              <w:t xml:space="preserve">Офицерова Наталья Сергеевна 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4000000">
            <w:pPr>
              <w:widowControl w:val="1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4"/>
              </w:rPr>
              <w:t>собрание избирателей по месту работы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5000000">
            <w:pPr>
              <w:widowControl w:val="1"/>
              <w:numPr>
                <w:ilvl w:val="0"/>
                <w:numId w:val="1"/>
              </w:numPr>
              <w:tabs>
                <w:tab w:leader="none" w:pos="720" w:val="left"/>
                <w:tab w:leader="none" w:pos="786" w:val="clear"/>
              </w:tabs>
              <w:ind w:hanging="357" w:left="300"/>
              <w:rPr>
                <w:color w:val="000000"/>
                <w:sz w:val="24"/>
              </w:rPr>
            </w:pPr>
          </w:p>
        </w:tc>
        <w:tc>
          <w:tcPr>
            <w:tcW w:type="dxa" w:w="4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6000000">
            <w:pPr>
              <w:widowControl w:val="1"/>
              <w:ind/>
              <w:rPr>
                <w:sz w:val="24"/>
              </w:rPr>
            </w:pPr>
            <w:r>
              <w:rPr>
                <w:sz w:val="24"/>
              </w:rPr>
              <w:t xml:space="preserve">Пахомова Марина Сергеевна 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7000000">
            <w:pPr>
              <w:widowControl w:val="1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4"/>
              </w:rPr>
              <w:t>собрание избирателей по месту работы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8000000">
            <w:pPr>
              <w:widowControl w:val="1"/>
              <w:numPr>
                <w:ilvl w:val="0"/>
                <w:numId w:val="1"/>
              </w:numPr>
              <w:tabs>
                <w:tab w:leader="none" w:pos="720" w:val="left"/>
                <w:tab w:leader="none" w:pos="786" w:val="clear"/>
              </w:tabs>
              <w:ind w:hanging="357" w:left="300"/>
              <w:rPr>
                <w:color w:val="000000"/>
                <w:sz w:val="24"/>
              </w:rPr>
            </w:pPr>
          </w:p>
        </w:tc>
        <w:tc>
          <w:tcPr>
            <w:tcW w:type="dxa" w:w="4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9000000">
            <w:pPr>
              <w:widowControl w:val="1"/>
              <w:ind/>
              <w:rPr>
                <w:sz w:val="24"/>
              </w:rPr>
            </w:pPr>
            <w:r>
              <w:rPr>
                <w:sz w:val="24"/>
              </w:rPr>
              <w:t xml:space="preserve">Раджабова Анна Александровна 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A000000">
            <w:pPr>
              <w:widowControl w:val="1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4"/>
              </w:rPr>
              <w:t xml:space="preserve">собрание избирателей по месту работы 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B000000">
            <w:pPr>
              <w:widowControl w:val="1"/>
              <w:numPr>
                <w:ilvl w:val="0"/>
                <w:numId w:val="1"/>
              </w:numPr>
              <w:tabs>
                <w:tab w:leader="none" w:pos="720" w:val="left"/>
                <w:tab w:leader="none" w:pos="786" w:val="clear"/>
              </w:tabs>
              <w:ind w:hanging="357" w:left="300"/>
              <w:rPr>
                <w:color w:val="000000"/>
                <w:sz w:val="24"/>
              </w:rPr>
            </w:pPr>
          </w:p>
        </w:tc>
        <w:tc>
          <w:tcPr>
            <w:tcW w:type="dxa" w:w="4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C000000">
            <w:pPr>
              <w:widowControl w:val="1"/>
              <w:ind/>
              <w:rPr>
                <w:sz w:val="24"/>
              </w:rPr>
            </w:pPr>
            <w:r>
              <w:rPr>
                <w:sz w:val="24"/>
              </w:rPr>
              <w:t xml:space="preserve">Сакульцанова Галина Владимировна 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D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собрание избирателей по месту работы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E000000">
            <w:pPr>
              <w:widowControl w:val="1"/>
              <w:numPr>
                <w:ilvl w:val="0"/>
                <w:numId w:val="1"/>
              </w:numPr>
              <w:tabs>
                <w:tab w:leader="none" w:pos="720" w:val="left"/>
                <w:tab w:leader="none" w:pos="786" w:val="clear"/>
              </w:tabs>
              <w:ind w:hanging="357" w:left="300"/>
              <w:rPr>
                <w:color w:val="000000"/>
                <w:sz w:val="24"/>
              </w:rPr>
            </w:pPr>
          </w:p>
        </w:tc>
        <w:tc>
          <w:tcPr>
            <w:tcW w:type="dxa" w:w="4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F000000">
            <w:pPr>
              <w:widowControl w:val="1"/>
              <w:ind/>
              <w:rPr>
                <w:sz w:val="24"/>
              </w:rPr>
            </w:pPr>
            <w:r>
              <w:rPr>
                <w:sz w:val="24"/>
              </w:rPr>
              <w:t xml:space="preserve">Чайка Наталья Валерьевна 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0000000">
            <w:pPr>
              <w:widowControl w:val="1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4"/>
              </w:rPr>
              <w:t xml:space="preserve">Ставропольское местное отделение Всероссийской политической партии «ЕДИНАЯ РОССИЯ» в Ставропольском крае  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1000000">
            <w:pPr>
              <w:widowControl w:val="1"/>
              <w:numPr>
                <w:ilvl w:val="0"/>
                <w:numId w:val="1"/>
              </w:numPr>
              <w:tabs>
                <w:tab w:leader="none" w:pos="720" w:val="left"/>
                <w:tab w:leader="none" w:pos="786" w:val="clear"/>
              </w:tabs>
              <w:ind w:hanging="357" w:left="300"/>
              <w:rPr>
                <w:color w:val="000000"/>
                <w:sz w:val="24"/>
              </w:rPr>
            </w:pPr>
          </w:p>
        </w:tc>
        <w:tc>
          <w:tcPr>
            <w:tcW w:type="dxa" w:w="4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2000000">
            <w:pPr>
              <w:widowControl w:val="1"/>
              <w:ind/>
              <w:rPr>
                <w:sz w:val="24"/>
              </w:rPr>
            </w:pPr>
            <w:r>
              <w:rPr>
                <w:sz w:val="24"/>
              </w:rPr>
              <w:t xml:space="preserve">Шапошникова Яна Павловна 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3000000">
            <w:pPr>
              <w:widowControl w:val="1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4"/>
              </w:rPr>
              <w:t xml:space="preserve">собрание избирателей по месту работы </w:t>
            </w:r>
          </w:p>
        </w:tc>
      </w:tr>
    </w:tbl>
    <w:p w14:paraId="64000000">
      <w:pPr>
        <w:ind/>
        <w:jc w:val="both"/>
        <w:rPr>
          <w:sz w:val="28"/>
        </w:rPr>
      </w:pPr>
    </w:p>
    <w:p w14:paraId="65000000">
      <w:pPr>
        <w:ind/>
        <w:jc w:val="both"/>
        <w:rPr>
          <w:sz w:val="28"/>
        </w:rPr>
      </w:pPr>
    </w:p>
    <w:p w14:paraId="66000000">
      <w:pPr>
        <w:ind w:firstLine="0" w:left="4820"/>
        <w:jc w:val="center"/>
        <w:outlineLvl w:val="1"/>
      </w:pPr>
    </w:p>
    <w:sectPr>
      <w:pgSz w:h="16838" w:w="11906"/>
      <w:pgMar w:bottom="567" w:footer="709" w:gutter="0" w:header="709" w:left="1985" w:right="567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."/>
      <w:lvlJc w:val="left"/>
      <w:pPr>
        <w:tabs>
          <w:tab w:leader="none" w:pos="786" w:val="left"/>
        </w:tabs>
        <w:ind w:hanging="360" w:left="786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tabs>
          <w:tab w:leader="none" w:pos="216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tabs>
          <w:tab w:leader="none" w:pos="432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tabs>
          <w:tab w:leader="none" w:pos="6480" w:val="left"/>
        </w:tabs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widowControl w:val="0"/>
      <w:ind/>
    </w:pPr>
    <w:rPr>
      <w:rFonts w:ascii="Times New Roman" w:hAnsi="Times New Roman"/>
    </w:rPr>
  </w:style>
  <w:style w:default="1" w:styleId="Style_6_ch" w:type="character">
    <w:name w:val="Normal"/>
    <w:link w:val="Style_6"/>
    <w:rPr>
      <w:rFonts w:ascii="Times New Roman" w:hAnsi="Times New Roman"/>
    </w:rPr>
  </w:style>
  <w:style w:styleId="Style_7" w:type="paragraph">
    <w:name w:val="toc 2"/>
    <w:next w:val="Style_6"/>
    <w:link w:val="Style_7_ch"/>
    <w:uiPriority w:val="39"/>
    <w:pPr>
      <w:ind w:firstLine="0" w:left="200"/>
    </w:pPr>
  </w:style>
  <w:style w:styleId="Style_7_ch" w:type="character">
    <w:name w:val="toc 2"/>
    <w:link w:val="Style_7"/>
  </w:style>
  <w:style w:styleId="Style_8" w:type="paragraph">
    <w:name w:val="toc 4"/>
    <w:next w:val="Style_6"/>
    <w:link w:val="Style_8_ch"/>
    <w:uiPriority w:val="39"/>
    <w:pPr>
      <w:ind w:firstLine="0" w:left="600"/>
    </w:pPr>
  </w:style>
  <w:style w:styleId="Style_8_ch" w:type="character">
    <w:name w:val="toc 4"/>
    <w:link w:val="Style_8"/>
  </w:style>
  <w:style w:styleId="Style_9" w:type="paragraph">
    <w:name w:val="toc 6"/>
    <w:next w:val="Style_6"/>
    <w:link w:val="Style_9_ch"/>
    <w:uiPriority w:val="39"/>
    <w:pPr>
      <w:ind w:firstLine="0" w:left="1000"/>
    </w:pPr>
  </w:style>
  <w:style w:styleId="Style_9_ch" w:type="character">
    <w:name w:val="toc 6"/>
    <w:link w:val="Style_9"/>
  </w:style>
  <w:style w:styleId="Style_10" w:type="paragraph">
    <w:name w:val="toc 7"/>
    <w:next w:val="Style_6"/>
    <w:link w:val="Style_10_ch"/>
    <w:uiPriority w:val="39"/>
    <w:pPr>
      <w:ind w:firstLine="0" w:left="1200"/>
    </w:pPr>
  </w:style>
  <w:style w:styleId="Style_10_ch" w:type="character">
    <w:name w:val="toc 7"/>
    <w:link w:val="Style_10"/>
  </w:style>
  <w:style w:styleId="Style_11" w:type="paragraph">
    <w:name w:val="heading 3"/>
    <w:basedOn w:val="Style_6"/>
    <w:link w:val="Style_11_ch"/>
    <w:uiPriority w:val="9"/>
    <w:qFormat/>
    <w:pPr>
      <w:spacing w:afterAutospacing="on" w:beforeAutospacing="on"/>
      <w:ind/>
      <w:outlineLvl w:val="2"/>
    </w:pPr>
    <w:rPr>
      <w:b w:val="1"/>
      <w:sz w:val="27"/>
    </w:rPr>
  </w:style>
  <w:style w:styleId="Style_11_ch" w:type="character">
    <w:name w:val="heading 3"/>
    <w:basedOn w:val="Style_6_ch"/>
    <w:link w:val="Style_11"/>
    <w:rPr>
      <w:b w:val="1"/>
      <w:sz w:val="27"/>
    </w:rPr>
  </w:style>
  <w:style w:styleId="Style_12" w:type="paragraph">
    <w:name w:val="Непропорциональный текст"/>
    <w:link w:val="Style_12_ch"/>
    <w:rPr>
      <w:rFonts w:ascii="Liberation Mono" w:hAnsi="Liberation Mono"/>
    </w:rPr>
  </w:style>
  <w:style w:styleId="Style_12_ch" w:type="character">
    <w:name w:val="Непропорциональный текст"/>
    <w:link w:val="Style_12"/>
    <w:rPr>
      <w:rFonts w:ascii="Liberation Mono" w:hAnsi="Liberation Mono"/>
    </w:rPr>
  </w:style>
  <w:style w:styleId="Style_1" w:type="paragraph">
    <w:name w:val="ConsPlusNonformat"/>
    <w:link w:val="Style_1_ch"/>
    <w:pPr>
      <w:widowControl w:val="0"/>
      <w:ind/>
    </w:pPr>
    <w:rPr>
      <w:rFonts w:ascii="Courier New" w:hAnsi="Courier New"/>
    </w:rPr>
  </w:style>
  <w:style w:styleId="Style_1_ch" w:type="character">
    <w:name w:val="ConsPlusNonformat"/>
    <w:link w:val="Style_1"/>
    <w:rPr>
      <w:rFonts w:ascii="Courier New" w:hAnsi="Courier New"/>
    </w:rPr>
  </w:style>
  <w:style w:styleId="Style_13" w:type="paragraph">
    <w:name w:val="Body Text 2"/>
    <w:basedOn w:val="Style_6"/>
    <w:link w:val="Style_13_ch"/>
    <w:pPr>
      <w:widowControl w:val="1"/>
      <w:ind/>
      <w:jc w:val="both"/>
    </w:pPr>
    <w:rPr>
      <w:sz w:val="24"/>
    </w:rPr>
  </w:style>
  <w:style w:styleId="Style_13_ch" w:type="character">
    <w:name w:val="Body Text 2"/>
    <w:basedOn w:val="Style_6_ch"/>
    <w:link w:val="Style_13"/>
    <w:rPr>
      <w:sz w:val="24"/>
    </w:rPr>
  </w:style>
  <w:style w:styleId="Style_14" w:type="paragraph">
    <w:name w:val="toc 3"/>
    <w:next w:val="Style_6"/>
    <w:link w:val="Style_14_ch"/>
    <w:uiPriority w:val="39"/>
    <w:pPr>
      <w:ind w:firstLine="0" w:left="400"/>
    </w:pPr>
  </w:style>
  <w:style w:styleId="Style_14_ch" w:type="character">
    <w:name w:val="toc 3"/>
    <w:link w:val="Style_14"/>
  </w:style>
  <w:style w:styleId="Style_3" w:type="paragraph">
    <w:name w:val="ConsPlusNormal"/>
    <w:link w:val="Style_3_ch"/>
    <w:pPr>
      <w:widowControl w:val="0"/>
      <w:ind/>
    </w:pPr>
    <w:rPr>
      <w:sz w:val="22"/>
    </w:rPr>
  </w:style>
  <w:style w:styleId="Style_3_ch" w:type="character">
    <w:name w:val="ConsPlusNormal"/>
    <w:link w:val="Style_3"/>
    <w:rPr>
      <w:sz w:val="22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heading 5"/>
    <w:next w:val="Style_6"/>
    <w:link w:val="Style_16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6_ch" w:type="character">
    <w:name w:val="heading 5"/>
    <w:link w:val="Style_16"/>
    <w:rPr>
      <w:rFonts w:ascii="XO Thames" w:hAnsi="XO Thames"/>
      <w:b w:val="1"/>
      <w:color w:val="000000"/>
      <w:sz w:val="22"/>
    </w:rPr>
  </w:style>
  <w:style w:styleId="Style_17" w:type="paragraph">
    <w:name w:val="heading 1"/>
    <w:basedOn w:val="Style_6"/>
    <w:next w:val="Style_6"/>
    <w:link w:val="Style_17_ch"/>
    <w:uiPriority w:val="9"/>
    <w:qFormat/>
    <w:pPr>
      <w:keepNext w:val="1"/>
      <w:keepLines w:val="1"/>
      <w:spacing w:before="480"/>
      <w:ind/>
      <w:outlineLvl w:val="0"/>
    </w:pPr>
    <w:rPr>
      <w:rFonts w:ascii="Cambria" w:hAnsi="Cambria"/>
      <w:b w:val="1"/>
      <w:color w:val="365F91"/>
      <w:sz w:val="28"/>
    </w:rPr>
  </w:style>
  <w:style w:styleId="Style_17_ch" w:type="character">
    <w:name w:val="heading 1"/>
    <w:basedOn w:val="Style_6_ch"/>
    <w:link w:val="Style_17"/>
    <w:rPr>
      <w:rFonts w:ascii="Cambria" w:hAnsi="Cambria"/>
      <w:b w:val="1"/>
      <w:color w:val="365F91"/>
      <w:sz w:val="28"/>
    </w:rPr>
  </w:style>
  <w:style w:styleId="Style_2" w:type="paragraph">
    <w:name w:val="Hyperlink"/>
    <w:link w:val="Style_2_ch"/>
    <w:rPr>
      <w:color w:val="0000FF"/>
      <w:u w:val="single"/>
    </w:rPr>
  </w:style>
  <w:style w:styleId="Style_2_ch" w:type="character">
    <w:name w:val="Hyperlink"/>
    <w:link w:val="Style_2"/>
    <w:rPr>
      <w:color w:val="0000FF"/>
      <w:u w:val="single"/>
    </w:rPr>
  </w:style>
  <w:style w:styleId="Style_18" w:type="paragraph">
    <w:name w:val="Footnote"/>
    <w:basedOn w:val="Style_6"/>
    <w:link w:val="Style_18_ch"/>
  </w:style>
  <w:style w:styleId="Style_18_ch" w:type="character">
    <w:name w:val="Footnote"/>
    <w:basedOn w:val="Style_6_ch"/>
    <w:link w:val="Style_18"/>
  </w:style>
  <w:style w:styleId="Style_19" w:type="paragraph">
    <w:name w:val="toc 1"/>
    <w:next w:val="Style_6"/>
    <w:link w:val="Style_19_ch"/>
    <w:uiPriority w:val="39"/>
    <w:pPr>
      <w:ind w:firstLine="0" w:left="0"/>
    </w:pPr>
    <w:rPr>
      <w:rFonts w:ascii="XO Thames" w:hAnsi="XO Thames"/>
      <w:b w:val="1"/>
    </w:rPr>
  </w:style>
  <w:style w:styleId="Style_19_ch" w:type="character">
    <w:name w:val="toc 1"/>
    <w:link w:val="Style_19"/>
    <w:rPr>
      <w:rFonts w:ascii="XO Thames" w:hAnsi="XO Thames"/>
      <w:b w:val="1"/>
    </w:rPr>
  </w:style>
  <w:style w:styleId="Style_20" w:type="paragraph">
    <w:name w:val="Balloon Text"/>
    <w:basedOn w:val="Style_6"/>
    <w:link w:val="Style_20_ch"/>
    <w:rPr>
      <w:rFonts w:ascii="Tahoma" w:hAnsi="Tahoma"/>
      <w:sz w:val="16"/>
    </w:rPr>
  </w:style>
  <w:style w:styleId="Style_20_ch" w:type="character">
    <w:name w:val="Balloon Text"/>
    <w:basedOn w:val="Style_6_ch"/>
    <w:link w:val="Style_20"/>
    <w:rPr>
      <w:rFonts w:ascii="Tahoma" w:hAnsi="Tahoma"/>
      <w:sz w:val="16"/>
    </w:rPr>
  </w:style>
  <w:style w:styleId="Style_21" w:type="paragraph">
    <w:name w:val="Header and Footer"/>
    <w:link w:val="Style_21_ch"/>
    <w:pPr>
      <w:spacing w:line="360" w:lineRule="auto"/>
      <w:ind/>
    </w:pPr>
    <w:rPr>
      <w:rFonts w:ascii="XO Thames" w:hAnsi="XO Thames"/>
      <w:sz w:val="20"/>
    </w:rPr>
  </w:style>
  <w:style w:styleId="Style_21_ch" w:type="character">
    <w:name w:val="Header and Footer"/>
    <w:link w:val="Style_21"/>
    <w:rPr>
      <w:rFonts w:ascii="XO Thames" w:hAnsi="XO Thames"/>
      <w:sz w:val="20"/>
    </w:rPr>
  </w:style>
  <w:style w:styleId="Style_22" w:type="paragraph">
    <w:name w:val="toc 9"/>
    <w:next w:val="Style_6"/>
    <w:link w:val="Style_22_ch"/>
    <w:uiPriority w:val="39"/>
    <w:pPr>
      <w:ind w:firstLine="0" w:left="1600"/>
    </w:pPr>
  </w:style>
  <w:style w:styleId="Style_22_ch" w:type="character">
    <w:name w:val="toc 9"/>
    <w:link w:val="Style_22"/>
  </w:style>
  <w:style w:styleId="Style_23" w:type="paragraph">
    <w:name w:val="footnote reference"/>
    <w:link w:val="Style_23_ch"/>
    <w:rPr>
      <w:vertAlign w:val="superscript"/>
    </w:rPr>
  </w:style>
  <w:style w:styleId="Style_23_ch" w:type="character">
    <w:name w:val="footnote reference"/>
    <w:link w:val="Style_23"/>
    <w:rPr>
      <w:vertAlign w:val="superscript"/>
    </w:rPr>
  </w:style>
  <w:style w:styleId="Style_24" w:type="paragraph">
    <w:name w:val="toc 8"/>
    <w:next w:val="Style_6"/>
    <w:link w:val="Style_24_ch"/>
    <w:uiPriority w:val="39"/>
    <w:pPr>
      <w:ind w:firstLine="0" w:left="1400"/>
    </w:pPr>
  </w:style>
  <w:style w:styleId="Style_24_ch" w:type="character">
    <w:name w:val="toc 8"/>
    <w:link w:val="Style_24"/>
  </w:style>
  <w:style w:styleId="Style_25" w:type="paragraph">
    <w:name w:val="toc 5"/>
    <w:next w:val="Style_6"/>
    <w:link w:val="Style_25_ch"/>
    <w:uiPriority w:val="39"/>
    <w:pPr>
      <w:ind w:firstLine="0" w:left="800"/>
    </w:pPr>
  </w:style>
  <w:style w:styleId="Style_25_ch" w:type="character">
    <w:name w:val="toc 5"/>
    <w:link w:val="Style_25"/>
  </w:style>
  <w:style w:styleId="Style_26" w:type="paragraph">
    <w:name w:val="Subtitle"/>
    <w:next w:val="Style_6"/>
    <w:link w:val="Style_26_ch"/>
    <w:uiPriority w:val="11"/>
    <w:qFormat/>
    <w:rPr>
      <w:rFonts w:ascii="XO Thames" w:hAnsi="XO Thames"/>
      <w:i w:val="1"/>
      <w:color w:val="616161"/>
      <w:sz w:val="24"/>
    </w:rPr>
  </w:style>
  <w:style w:styleId="Style_26_ch" w:type="character">
    <w:name w:val="Subtitle"/>
    <w:link w:val="Style_26"/>
    <w:rPr>
      <w:rFonts w:ascii="XO Thames" w:hAnsi="XO Thames"/>
      <w:i w:val="1"/>
      <w:color w:val="616161"/>
      <w:sz w:val="24"/>
    </w:rPr>
  </w:style>
  <w:style w:styleId="Style_27" w:type="paragraph">
    <w:name w:val="toc 10"/>
    <w:next w:val="Style_6"/>
    <w:link w:val="Style_27_ch"/>
    <w:uiPriority w:val="39"/>
    <w:pPr>
      <w:ind w:firstLine="0" w:left="1800"/>
    </w:pPr>
  </w:style>
  <w:style w:styleId="Style_27_ch" w:type="character">
    <w:name w:val="toc 10"/>
    <w:link w:val="Style_27"/>
  </w:style>
  <w:style w:styleId="Style_4" w:type="paragraph">
    <w:name w:val="Title"/>
    <w:basedOn w:val="Style_6"/>
    <w:link w:val="Style_4_ch"/>
    <w:uiPriority w:val="10"/>
    <w:qFormat/>
    <w:pPr>
      <w:widowControl w:val="1"/>
      <w:ind/>
      <w:jc w:val="center"/>
    </w:pPr>
    <w:rPr>
      <w:b w:val="1"/>
      <w:sz w:val="24"/>
    </w:rPr>
  </w:style>
  <w:style w:styleId="Style_4_ch" w:type="character">
    <w:name w:val="Title"/>
    <w:basedOn w:val="Style_6_ch"/>
    <w:link w:val="Style_4"/>
    <w:rPr>
      <w:b w:val="1"/>
      <w:sz w:val="24"/>
    </w:rPr>
  </w:style>
  <w:style w:styleId="Style_28" w:type="paragraph">
    <w:name w:val="heading 4"/>
    <w:next w:val="Style_6"/>
    <w:link w:val="Style_28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8_ch" w:type="character">
    <w:name w:val="heading 4"/>
    <w:link w:val="Style_28"/>
    <w:rPr>
      <w:rFonts w:ascii="XO Thames" w:hAnsi="XO Thames"/>
      <w:b w:val="1"/>
      <w:color w:val="595959"/>
      <w:sz w:val="26"/>
    </w:rPr>
  </w:style>
  <w:style w:styleId="Style_29" w:type="paragraph">
    <w:name w:val="heading 2"/>
    <w:basedOn w:val="Style_6"/>
    <w:next w:val="Style_6"/>
    <w:link w:val="Style_29_ch"/>
    <w:uiPriority w:val="9"/>
    <w:qFormat/>
    <w:pPr>
      <w:keepNext w:val="1"/>
      <w:keepLines w:val="1"/>
      <w:spacing w:before="200"/>
      <w:ind/>
      <w:outlineLvl w:val="1"/>
    </w:pPr>
    <w:rPr>
      <w:rFonts w:ascii="Cambria" w:hAnsi="Cambria"/>
      <w:b w:val="1"/>
      <w:color w:val="4F81BD"/>
      <w:sz w:val="26"/>
    </w:rPr>
  </w:style>
  <w:style w:styleId="Style_29_ch" w:type="character">
    <w:name w:val="heading 2"/>
    <w:basedOn w:val="Style_6_ch"/>
    <w:link w:val="Style_29"/>
    <w:rPr>
      <w:rFonts w:ascii="Cambria" w:hAnsi="Cambria"/>
      <w:b w:val="1"/>
      <w:color w:val="4F81BD"/>
      <w:sz w:val="26"/>
    </w:rPr>
  </w:style>
  <w:style w:styleId="Style_30" w:type="paragraph">
    <w:name w:val="List Paragraph"/>
    <w:basedOn w:val="Style_6"/>
    <w:link w:val="Style_30_ch"/>
    <w:pPr>
      <w:ind w:firstLine="0" w:left="720"/>
      <w:contextualSpacing w:val="1"/>
    </w:pPr>
  </w:style>
  <w:style w:styleId="Style_30_ch" w:type="character">
    <w:name w:val="List Paragraph"/>
    <w:basedOn w:val="Style_6_ch"/>
    <w:link w:val="Style_30"/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2025-10-30T17:14:45Z</dcterms:modified>
</cp:coreProperties>
</file>