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5228" w:type="dxa"/>
        <w:tblLook w:val="04A0" w:firstRow="1" w:lastRow="0" w:firstColumn="1" w:lastColumn="0" w:noHBand="0" w:noVBand="1"/>
      </w:tblPr>
      <w:tblGrid>
        <w:gridCol w:w="3916"/>
        <w:gridCol w:w="6682"/>
        <w:gridCol w:w="4394"/>
        <w:gridCol w:w="236"/>
      </w:tblGrid>
      <w:tr>
        <w:tblPrEx/>
        <w:trPr>
          <w:gridAfter w:val="1"/>
        </w:trPr>
        <w:tc>
          <w:tcPr>
            <w:gridSpan w:val="2"/>
            <w:tcW w:w="10598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ПРИЛОЖЕНИЕ </w:t>
            </w:r>
            <w:r>
              <w:rPr>
                <w:b w:val="0"/>
                <w:bCs w:val="0"/>
                <w:sz w:val="28"/>
                <w:szCs w:val="28"/>
              </w:rPr>
              <w:t xml:space="preserve">1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к решению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ind w:left="-108"/>
              <w:jc w:val="center"/>
              <w:spacing w:line="240" w:lineRule="exact"/>
              <w:rPr>
                <w:rFonts w:eastAsia="Calibri"/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от 27 мая 2026 г.</w:t>
            </w:r>
            <w:r>
              <w:rPr>
                <w:b w:val="0"/>
                <w:bCs w:val="0"/>
                <w:sz w:val="28"/>
                <w:szCs w:val="28"/>
              </w:rPr>
              <w:t xml:space="preserve"> № 71</w:t>
            </w:r>
            <w:r>
              <w:rPr>
                <w:rFonts w:eastAsia="Calibri"/>
                <w:b w:val="0"/>
                <w:bCs w:val="0"/>
                <w:sz w:val="28"/>
                <w:szCs w:val="28"/>
              </w:rPr>
            </w:r>
            <w:r>
              <w:rPr>
                <w:rFonts w:eastAsia="Calibri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372"/>
        </w:trPr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6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gridSpan w:val="2"/>
            <w:shd w:val="clear" w:color="000000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076" w:type="dxa"/>
            <w:vAlign w:val="center"/>
            <w:textDirection w:val="lrTb"/>
            <w:noWrap/>
          </w:tcPr>
          <w:p>
            <w:pPr>
              <w:jc w:val="righ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center"/>
        <w:spacing w:line="240" w:lineRule="exact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 xml:space="preserve">ДОХОДЫ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center"/>
        <w:spacing w:line="240" w:lineRule="exact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бюджета города Ставрополя по кодам к</w:t>
      </w:r>
      <w:r>
        <w:rPr>
          <w:b w:val="0"/>
          <w:bCs w:val="0"/>
          <w:color w:val="000000" w:themeColor="text1"/>
          <w:sz w:val="28"/>
          <w:szCs w:val="28"/>
        </w:rPr>
        <w:t xml:space="preserve">лассификации доходов бюджетов за </w:t>
      </w:r>
      <w:r>
        <w:rPr>
          <w:b w:val="0"/>
          <w:bCs w:val="0"/>
          <w:color w:val="000000" w:themeColor="text1"/>
          <w:sz w:val="28"/>
        </w:rPr>
        <w:t xml:space="preserve">20</w:t>
      </w:r>
      <w:r>
        <w:rPr>
          <w:b w:val="0"/>
          <w:bCs w:val="0"/>
          <w:color w:val="000000" w:themeColor="text1"/>
          <w:sz w:val="28"/>
        </w:rPr>
        <w:t xml:space="preserve">2</w:t>
      </w:r>
      <w:r>
        <w:rPr>
          <w:b w:val="0"/>
          <w:bCs w:val="0"/>
          <w:color w:val="000000" w:themeColor="text1"/>
          <w:sz w:val="28"/>
        </w:rPr>
        <w:t xml:space="preserve">5</w:t>
      </w:r>
      <w:r>
        <w:rPr>
          <w:b w:val="0"/>
          <w:bCs w:val="0"/>
          <w:color w:val="000000" w:themeColor="text1"/>
          <w:sz w:val="28"/>
          <w:szCs w:val="28"/>
        </w:rPr>
        <w:t xml:space="preserve"> год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jc w:val="center"/>
        <w:spacing w:line="240" w:lineRule="exact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ind w:right="-31"/>
        <w:jc w:val="center"/>
        <w:spacing w:line="240" w:lineRule="exac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b w:val="0"/>
          <w:bCs w:val="0"/>
        </w:rPr>
        <w:t xml:space="preserve">                  </w:t>
      </w:r>
      <w:r>
        <w:rPr>
          <w:b w:val="0"/>
          <w:bCs w:val="0"/>
        </w:rPr>
        <w:t xml:space="preserve">             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(руб</w:t>
      </w:r>
      <w:r>
        <w:rPr>
          <w:b w:val="0"/>
          <w:bCs w:val="0"/>
        </w:rPr>
        <w:t xml:space="preserve">лей</w:t>
      </w:r>
      <w:r>
        <w:rPr>
          <w:b w:val="0"/>
          <w:bCs w:val="0"/>
        </w:rPr>
        <w:t xml:space="preserve">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spacing w:line="14" w:lineRule="auto"/>
        <w:rPr>
          <w:b w:val="0"/>
          <w:bCs w:val="0"/>
          <w:sz w:val="2"/>
          <w:szCs w:val="2"/>
        </w:rPr>
      </w:pPr>
      <w:r>
        <w:rPr>
          <w:b w:val="0"/>
          <w:bCs w:val="0"/>
          <w:sz w:val="2"/>
          <w:szCs w:val="2"/>
        </w:rPr>
      </w:r>
      <w:r>
        <w:rPr>
          <w:b w:val="0"/>
          <w:bCs w:val="0"/>
          <w:sz w:val="2"/>
          <w:szCs w:val="2"/>
        </w:rPr>
      </w:r>
      <w:r>
        <w:rPr>
          <w:b w:val="0"/>
          <w:bCs w:val="0"/>
          <w:sz w:val="2"/>
          <w:szCs w:val="2"/>
        </w:rPr>
      </w:r>
    </w:p>
    <w:tbl>
      <w:tblPr>
        <w:tblW w:w="14742" w:type="dxa"/>
        <w:tblInd w:w="108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3"/>
        <w:gridCol w:w="1842"/>
        <w:gridCol w:w="1843"/>
        <w:gridCol w:w="992"/>
      </w:tblGrid>
      <w:tr>
        <w:tblPrEx/>
        <w:trPr>
          <w:cantSplit/>
          <w:trHeight w:val="1192"/>
        </w:trPr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Код бюджетной классификации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Российской Федерации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3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Наименование дохода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План бюджета города Ставрополя на 20</w:t>
            </w:r>
            <w:r>
              <w:rPr>
                <w:b w:val="0"/>
                <w:bCs w:val="0"/>
                <w:sz w:val="20"/>
                <w:szCs w:val="20"/>
              </w:rPr>
              <w:t xml:space="preserve">2</w:t>
            </w:r>
            <w:r>
              <w:rPr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b w:val="0"/>
                <w:bCs w:val="0"/>
                <w:sz w:val="20"/>
                <w:szCs w:val="20"/>
              </w:rPr>
              <w:t xml:space="preserve"> год с учетом изменений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Исполнено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за 20</w:t>
            </w:r>
            <w:r>
              <w:rPr>
                <w:b w:val="0"/>
                <w:bCs w:val="0"/>
                <w:sz w:val="20"/>
                <w:szCs w:val="20"/>
              </w:rPr>
              <w:t xml:space="preserve">2</w:t>
            </w:r>
            <w:r>
              <w:rPr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b w:val="0"/>
                <w:bCs w:val="0"/>
                <w:sz w:val="20"/>
                <w:szCs w:val="20"/>
              </w:rPr>
              <w:t xml:space="preserve"> год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Процент испол-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нения к принято-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му плану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</w:tbl>
    <w:p>
      <w:pPr>
        <w:rPr>
          <w:b w:val="0"/>
          <w:bCs w:val="0"/>
          <w:sz w:val="2"/>
          <w:szCs w:val="2"/>
        </w:rPr>
      </w:pPr>
      <w:r>
        <w:rPr>
          <w:b w:val="0"/>
          <w:bCs w:val="0"/>
          <w:sz w:val="2"/>
          <w:szCs w:val="2"/>
        </w:rPr>
      </w:r>
      <w:r>
        <w:rPr>
          <w:b w:val="0"/>
          <w:bCs w:val="0"/>
          <w:sz w:val="2"/>
          <w:szCs w:val="2"/>
        </w:rPr>
      </w:r>
      <w:r>
        <w:rPr>
          <w:b w:val="0"/>
          <w:bCs w:val="0"/>
          <w:sz w:val="2"/>
          <w:szCs w:val="2"/>
        </w:rPr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7511"/>
        <w:gridCol w:w="1844"/>
        <w:gridCol w:w="1843"/>
        <w:gridCol w:w="992"/>
      </w:tblGrid>
      <w:tr>
        <w:tblPrEx/>
        <w:trPr>
          <w:cantSplit/>
          <w:trHeight w:val="2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67" w:type="dxa"/>
            <w:vAlign w:val="bottom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11" w:type="dxa"/>
            <w:vAlign w:val="bottom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2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4" w:type="dxa"/>
            <w:vAlign w:val="bottom"/>
            <w:textDirection w:val="lrTb"/>
            <w:noWrap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3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4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</w:tcBorders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УПРАВЛЕНИЕ ФЕДЕРАЛЬНОЙ НАЛОГОВОЙ СЛУЖБЫ ПО СТАВРОПОЛЬСКОМУ КРАЮ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44" w:type="dxa"/>
            <w:textDirection w:val="lrTb"/>
            <w:noWrap/>
          </w:tcPr>
          <w:p>
            <w:pPr>
              <w:ind w:left="317" w:hanging="142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8 418 791 133,59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43" w:type="dxa"/>
            <w:textDirection w:val="lrTb"/>
            <w:noWrap/>
          </w:tcPr>
          <w:p>
            <w:pPr>
              <w:ind w:left="318" w:hanging="142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8 515 927 381,74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101,2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182 1 01 00000 00 0000 000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НАЛОГИ НА ПРИБЫЛЬ, ДОХОДЫ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ind w:hanging="108"/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5 122 141 244,54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ind w:hanging="108"/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5 128 866 600,93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ind w:hanging="108"/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ind w:hanging="108"/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182 1 01 02000 01 0000 110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 на доходы физических лиц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ind w:hanging="108"/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5 122 141 244,54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ind w:hanging="108"/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5 128 866 600,93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из них: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vAlign w:val="bottom"/>
            <w:textDirection w:val="lrTb"/>
            <w:noWrap/>
          </w:tcPr>
          <w:p>
            <w:pPr>
              <w:ind w:hanging="108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vAlign w:val="bottom"/>
            <w:textDirection w:val="lrTb"/>
            <w:noWrap/>
          </w:tcPr>
          <w:p>
            <w:pPr>
              <w:ind w:hanging="108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182 1 01 02010 01 0000 110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алог на доходы физических лиц с доходов, источником которых является налоговый агент, за исключением доходов, в отношении которых исчисление и у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 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части суммы налога, не превышающей 650 тысяч рублей за налоговые периоды до 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 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января 2025 года, а также в части суммы налога, не превышающей 312 ты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ind w:hanging="108"/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4 637 494 860,89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ind w:hanging="108"/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4 553 893 240,10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98,2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182 1 01 02020 01 0000 110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адвокатов, учредивших адвокатские кабинеты, и других лиц, занимающихся частной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23 790 510,00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41 656 678,33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175,1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практикой в соответствии со ста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182 1 01 02021 01 0000 110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 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миллионов рублей)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4 000 000,00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4 265 629,45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106,6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182 1 01 02022 01 0000 110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 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миллионов рублей)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10 000 000,00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10 936 164,63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109,4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182 1 01 02023 01 0000 110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 на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 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миллионов рублей)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8 000 000,00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8 027 158,07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182 1 01 02024 01 0000 110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5 000 000,00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5 541 113,61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110,8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128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182 1 01 02030 01 0000 110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br/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(за исключением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от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долевого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участия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организации,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полученных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физическим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лицом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налоговым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резидентом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Российской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Федерации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виде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92 111 440,00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91 468 204,65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99,3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128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 января 2025 года)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182 1 01 02050 01 0000 110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126,36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191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182 1 01 02080 01 0000 110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119 251 150,00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133 807 839,25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112,2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182 1 01 02090 01 0000 110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 на доходы физических лиц с сумм прибыли контролируемой иностранной компании, получен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 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января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2025 года, 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-86 814,18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также в части суммы налога, не превышающей 312 тысяч рублей за налоговые периоды после 1 января 2025 года)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182 1 01 02130 01 0000 110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55 150 960,00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53 316 547,42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96,7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182 1 01 02140 01 0000 110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141 751 240,00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177 454 882,74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125,2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182 1 01 02150 01 0000 110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702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22 900 000,00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30 395 688,69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132,7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182 1 01 02160 01 0000 110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3 402 тысячи рублей,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резидентами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Российской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Федерации,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указанных в абзаце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2 047 800,39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10 142 653,30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495,3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182 1 01 02170 01 0000 110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 на доходы физических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6 401 912,04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182 1 01 02180 01 0000 110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 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исключением налога на доходы физических лиц в отношении доходов, указанных в абзацах тридцать пятом и тридцать шестом статьи 50 Бюджетного кодекса Рос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12 098,32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1 091 205,18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9 019,5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182 1 01 02200 01 0000 110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 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января 2025 года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15 905,43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182 1 01 02210 01 0000 110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631 184,94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538 465,86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85,3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182 1 03 00000 00 0000 000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НАЛОГИ НА ТОВАРЫ (РАБОТЫ, УСЛУГИ), РЕАЛИЗУЕМЫЕ НА ТЕРРИТОРИИ РОССИЙСКОЙ ФЕДЕРАЦИИ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43 419 260,00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43 844 321,61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101,0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vAlign w:val="bottom"/>
            <w:textDirection w:val="lrTb"/>
            <w:noWrap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182 1 03 02000 01 0000 110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Акцизы по подакцизным товарам (продукции), производимым на территории Российской Федерации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33 946 260,00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34 281 049,22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101,0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из них: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182 1 03 02231 01 0000 110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18 053 230,00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17 390 034,23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96,3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182 1 03 02241 01 0000 110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90 100,00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101 755,78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112,9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182 1 03 02251 01 0000 110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18 534 280,00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18 528 029,43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182 1 03 02261 01 0000 110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-2 731 350,00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-1 738 770,22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63,7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182 1 03 03000 01 0000 110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Туристический налог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9 473 000,00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9 563 272,39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101,0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182 1 05 00000 00 0000 000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НАЛОГИ НА СОВОКУПНЫЙ ДОХОД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1 182 001 000,00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1 244 892 677,40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105,3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182 1 05 01000 00 0000 110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Налог, взимаемый в связи с применением упрощенной системы налогообложения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973 691 000,00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975 065 300,49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из них: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182 1 05 01011 01 0000 110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налог, взимаемый с налогоплательщиков, выбравших в качестве объекта налогообложения доходы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718 559 000,00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723 821 114,77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182 1 05 01021 01 0000 110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255 132 000,00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251 244 185,72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98,5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182 1 05 02000 02 0000 110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Единый налог на вмененный доход для отдельных видов деятельности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319 724,73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106,6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из них: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182 1 05 02010 02 0000 110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единый налог на вмененный доход для отдельных видов деятельности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319 724,73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106,6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182 1 05 03000 01 0000 110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Единый сельскохозяйственный налог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15 515 000,00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15 899 211,09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102,5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vAlign w:val="bottom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из них: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142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182 1 05 03010 01 0000 110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единый сельскохозяйственный налог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15 515 000,00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15 899 211,09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102,5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182 1 05 04000 02 0000 110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Налог, взимаемый в связи с применением патентной системы налогообложения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192 495 000,00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253 608 441,09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131,7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61"/>
        </w:trPr>
        <w:tc>
          <w:tcPr>
            <w:shd w:val="clear" w:color="auto" w:fill="auto"/>
            <w:tcW w:w="2567" w:type="dxa"/>
            <w:vAlign w:val="bottom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из них: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182 1 05 04010 02 0000 110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192 495 000,00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253 608 441,09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131,7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182 1 06 00000 00 0000 000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НАЛОГИ НА ИМУЩЕСТВО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1 745 245 899,05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1 765 418 799,58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101,2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vAlign w:val="bottom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182 1 06 01000 00 0000 110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 на имущество физических лиц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1 118 783 000,00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1 137 172 841,75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101,6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vAlign w:val="bottom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из них: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182 1 06 01020 04 0000 110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1 118 783 000,00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1 137 172 841,75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101,6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182 1 06 06000 00 0000 110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Земельный налог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626 462 899,05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628 245 957,83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vAlign w:val="bottom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182 1 06 06030 00 0000 110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Земельный налог с организаций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410 522 899,05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408 978 565,90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99,6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vAlign w:val="bottom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из них: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vAlign w:val="bottom"/>
            <w:textDirection w:val="lrTb"/>
            <w:noWrap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182 1 06 06032 04 0000 110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 расположенным в границах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410 522 899,05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408 978 565,90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99,6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182 1 06 06040 00 0000 110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Земельный налог с физических лиц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215 940 000,00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219 267 391,93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101,5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vAlign w:val="bottom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из них: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vAlign w:val="bottom"/>
            <w:textDirection w:val="lrTb"/>
            <w:noWrap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182 1 06 06042 04 0000 110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земельный налог с физических лиц, обладающих земельным участком, расположенным в границах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215 940 000,00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219 267 391,93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101,5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182 1 08 00000 00 0000 000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ГОСУДАРСТВЕННАЯ ПОШЛИНА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325 845 730,00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331 738 121,09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101,8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vAlign w:val="bottom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182 1 08 03000 01 0000 110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Государственная пошлина по делам, рассматриваемым в судах общей юрисдикции, мировыми судьями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325 845 730,00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331 738 121,09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101,8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vAlign w:val="bottom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из них: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182 1 08 03010 01 0000 110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325 845 730,00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331 738 121,09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101,8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182 1 16 10123 01 0000 140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138 000,00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1 099 745,03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796,9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182 1 16 10129 01 0000 140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67 116,10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ПРАВИТЕЛЬСТВО СТАВРОПОЛЬСКОГО КРАЯ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1 155 587,26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1 125 860,99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97,4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002 1 16 01053 01 0000 140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63 677,00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53 652,65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84,3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002 1 16 01063 01 0000 140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общественную нравственность,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121 459,00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104 620,00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86,1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002 1 16 01073 01 0000 140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12 181,26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13 181,26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108,2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155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002 1 16 01183 01 0000 140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002 1 16 01193 01 0000 140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002 1 16 01203 01 0000 140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глав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763 598,00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764 254,66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002 1 16 02010 02 0000 140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192 672,00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186 152,42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96,6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УПРАВЛЕНИЕ ПО ОБЕСПЕЧЕНИЮ ДЕЯТЕЛЬНОСТИ МИРОВЫХ СУДЕЙ СТАВРОПОЛЬСКОГО КРАЯ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14 013 425,00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10 560 729,03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75,4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008 1 16 01053 01 0000 140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161 145,00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97 263,25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60,4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008 1 16 01063 01 0000 140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771 365,00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637 454,08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82,6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008 1 16 01073 01 0000 140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охраны собственности,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1 090 195,00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2 397 765,05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219,9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008 1 16 01083 01 0000 140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главой 8 Кодекса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358 030,00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93 982,74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26,2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008 1 16 01093 01 0000 140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11 620,00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008 1 16 01103 01 0000 140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7 500,00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1 500,00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008 1 16 01113 01 0000 140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2 045,00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150,00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7,3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008 1 16 01123 01 0000 140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25 000,00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008 1 16 01133 01 0000 140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37 885,00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5 925,00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15,6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008 1 16 01143 01 0000 140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предпринимательской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деятельности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 деятельности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br/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555 830,00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101 079,47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18,2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саморегулируемых организаций,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008 1 16 01153 01 0000 140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1 041 450,00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154 592,21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14,8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008 1 16 01163 01 0000 140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330,00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008 1 16 01173 01 0000 140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117 210,00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85 912,02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73,3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008 1 16 01183 01 0000 140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008 1 16 01193 01 0000 140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4 803 745,00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992 799,27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20,7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13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008 1 16 01203 01 0000 140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глав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4 091 230,00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5 684 265,28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138,9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008 1 16 01333 01 0000 140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Кодексом Российской Федерации об административных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br/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957 845,00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283 040,66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29,5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алкогольную и спиртосодержащую продукцию,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036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МИНИСТЕРСТВО ПРИРОДНЫХ РЕСУРСОВ И ОХРАНЫ ОКРУЖАЮЩЕЙ СРЕДЫ СТАВРОПОЛЬСКОГО КРАЯ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4 297,00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036 1 16 01203 01 0000 140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глав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036 1 16 11050 01 0000 140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окружающей среде (за исключением вреда, причиненного окружающей среде на особо охраняемых природных территориях, вреда, причиненного водным объектам, водным биологическим ресурсам, атмосферному воздух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обитания), подлежащие зачислению в бюджет муниципального образования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297,00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048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СЕВЕРО-КАВКАЗСКОЕ МЕЖРЕГИОНАЛЬНОЕ УПРАВЛЕНИЕ ФЕДЕРАЛЬНОЙ СЛУЖБЫ ПО НАДЗОРУ В СФЕРЕ ПРИРОДОПОЛЬЗОВАНИЯ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2 283 190,00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2 082 381,51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91,2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048 1 12 01000 01 0000 120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Плата за негативное воздействие на окружающую среду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2 283 190,00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2 082 381,51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91,2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из них: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048 1 12 01010 01 0000 120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плата за выбросы загрязняющих веществ в атмосферный воздух стационарными объектами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740 140,00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686 960,48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92,8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048 1 12 01030 01 0000 120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плата за сбросы загрязняющих веществ в водные объекты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789 020,00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646 571,15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81,9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048 1 12 01040 01 0000 120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плата за размещение отходов производства и потребления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754 030,00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748 849,88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99,3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из них: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048 1 12 01041 01 0000 120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плата за размещение отходов производства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754 030,00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744 685,96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98,8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048 1 12 01042 01 0000 120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плата за размещение твердых коммунальных отходов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4 163,92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075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МИНИСТЕРСТВО ОБРАЗОВАНИЯ СТАВРОПОЛЬСКОГО КРАЯ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075 1 16 01193 01 0000 140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МИНИСТЕРСТВО ФИНАНСОВ СТАВРОПОЛЬСКОГО КРАЯ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12 861,72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138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105 1 16 01073 01 0000 140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12 861,72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126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УПРАВЛЕНИЕ СТАВРОПОЛЬСКОГО КРАЯ - ГОСУДАРСТВЕННАЯ ЖИЛИЩНАЯ ИНСПЕКЦИЯ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646 500,00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985 574,81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152,4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126 1 16 01073 01 0000 140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12 500,00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12 500,00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126 1 16 01133 01 0000 140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29 165,39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291,7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126 1 16 01143 01 0000 140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главой 14 Кодекса Российско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286 740,40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318,6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126 1 16 01193 01 0000 140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139 000,00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164 506,13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118,3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126 1 16 01203 01 0000 140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главо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395 000,00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492 162,89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124,6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126 1 16 10123 01 0000 140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ГЛАВНОЕ УПРАВЛЕНИЕ МИНИСТЕРСТВА ВНУТРЕННИХ ДЕЛ РОССИЙСКОЙ ФЕДЕРАЦИИ ПО СТАВРОПОЛЬСКОМУ КРАЮ, УПРАВЛЕНИЕ МИНИСТЕРСТВА ВНУТРЕННИХ ДЕЛ РОССИЙСКОЙ ФЕДЕРАЦИИ ПО ГОРОДУ СТАВРОПОЛЮ И СТАВРОПОЛЬСКИЙ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br/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-837,89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ЛИНЕЙНЫЙ ОТДЕЛ МИНИСТЕРСТВА ВНУТРЕННИХ ДЕЛ РОССИЙСКОЙ ФЕДЕРАЦИИ НА ТРАНСПОРТЕ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21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188 1 16 01123 01 0000 140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администрат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средства, налагаемые мировыми судьями)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49 480,00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188 1 16 10123 01 0000 140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-50 317,89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313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МИНИСТЕРСТВО СТРОИТЕЛЬСТВА И АРХИТЕКТУРЫ СТАВРОПОЛЬСКОГО КРАЯ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591 457,00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11 500,00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1,9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313 1 16 01193 01 0000 140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111 083,00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11 500,00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10,4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313 1 16 01203 01 0000 140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глав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272 590,00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313 1 16 10123 01 0000 140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207 784,00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АДМИНИСТАЦИЯ ГОРОДА СТАВРОПОЛЯ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29 326 587,63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27 589 708,24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94,1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193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601 1 11 05034 04 0000 120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215 919,96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215 919,96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174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601 1 13 01994 04 0000 130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5 433 900,00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3 982 970,92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73,3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601 1 13 02994 04 0000 130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500 862,52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516 153,05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103,1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601 1 16 07010 04 0000 140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8 003,30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8 319,89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104,0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муниципальным контрактом, заключенным муниципальным органом,  казенным учреждением городского округа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601 1 16 07090 04 0000 140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7 737,76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7 737,76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601 1 16 10123 01 0000 140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187 378,00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185 863,90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99,2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601 1 17 05040 04 0000 180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неналоговые доходы бюджетов городских округов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2 908 621,10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2 908 621,10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601 2 02 29999 04 1204 150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субсидии бюджетам городских округов (проведение информационно-пропагандистских мероприятий, направленных на профилактику идеологии терроризма)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74 829,60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74 829,60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601 2 02 30024 04 0045 150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Ставропольского края по организации архивного дела в Ставропольском крае)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1 565 648,81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1 565 648,81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601 2 02 30024 04 0047 150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(создание и организация деятельности комиссий по делам несовершеннолетних и защите их прав)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4 561 632,11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4 561 632,11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601 2 02 30024 04 0181 150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Ставропольского края по созданию и организации деятельности административных комиссий)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601 2 02 35120 04 0000 150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213 649,00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601 2 02 49999 04 0064 150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межбюджетные трансферты, передаваемые бюджетам городских округов (обеспечение деятельности депутатов Думы Ставропольского края и их помощников в избирательных округах)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13 639 405,47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13 553 011,14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99,4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КОМИТЕТ ПО УПРАВЛЕНИЮ МУНИЦИПАЛЬНЫМ ИМУЩЕСТВОМ ГОРОДА СТАВРОПОЛЯ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1 185 289 085,73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812 135 012,88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68,5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602 1 11 01040 04 0000 120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1 730 159,81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1 730 559,81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602 1 11 05012 04 0000 120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на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которые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не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разграничена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которые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расположены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границах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481 633 961,11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473 338 852,85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98,3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городских округов, а также средства от продажи права на заключение договоров аренды указанных земельных участков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602 1 11 05024 04 0000 120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22 612 944,65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23 436 666,43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103,6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602 1 11 05034 04 0000 120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50 387 468,24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52 207 857,22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103,6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602 1 11 07014 04 0000 120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 городскими округами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-203 723,98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602 1 13 02994 04 0000 130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403 824,81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550 677,65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136,4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602 1 14 02040 04 0000 410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реализации имущества, находящегося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23 619 686,72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17 802 101,55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75,4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52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из них: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602 1 14 02042 04 0000 410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реализации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5 256 921,79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4 406 188,98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83,8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602 1 14 02043 04 0000 410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реализации иного имущества, нахо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дящегося в собственности городских округов (за исключением имущества 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18 362 764,93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13 395 912,57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73,0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602 1 14 02040 04 0000 440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реализации имущества, находящ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72 072,41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из них: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602 1 14 02042 04 0000 440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реализации иму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72 072,41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602 1 14 06000 00 0000 430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218 164 825,23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219 397 290,46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602 1 14 06010 00 0000 430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продажи земельных участков, государственная собственность на которые не разграничена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213 012 264,90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213 649 296,76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97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из них: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602 1 14 06012 04 0000 430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213 012 264,90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213 649 296,76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602 1 14 06020 00 0000 430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5 152 560,33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5 747 993,70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111,6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из них: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602 1 14 06024 04 0000 430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5 152 560,33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5 747 993,70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111,6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602 1 16 01074 01 0000 140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602 1 16 01084 01 0000 140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выявленные должностными лицами органов муниципального контроля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460,00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602 1 16 01194 01 0000 140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602 1 16 07010 04 0000 140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9 402,00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132 923,79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1 413,8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602 1 16 07090 04 0000 140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10 147 160,44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7 910 422,67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78,0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602 1 16 10061 04 0000 140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Платежи в целях возмещения убытко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Российской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Федерации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контрактной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системе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сфере закупок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9 992,00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602 1 16 10123 01 0000 140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6 254,54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602 1 17 01040 04 0000 180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303 047,58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602 2 02 20077 04 1321 150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Субсидии бюд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жетам городских округов на софинансирование капитальных вложений в объекты муниципальной собственности (приобретение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361 000 000,00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602 2 02 25497 04 0000 150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Субсидии бюджетам городских округов на реализацию мероприятий по обеспечению жильем молодых семей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13 001 833,95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13 001 833,95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602 2 02 29999 04 1301 150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субсидии бюджетам городских округов (создание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6 195 546,60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6 195 546,60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602 2 19 25497 04 0000 150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Возврат остатков субсидий на реализацию мероприятий по обеспечению жильем молодых семей из бюджетов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-1 002 657,59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-1 002 657,59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434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602 2 19 60010 04 0000 150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-2 687 142,65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-2 687 142,65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КОМИТЕТ ФИНАНСОВ И БЮДЖЕТА АДМИНИСТРАЦИИ ГОРОДА СТАВРОПОЛЯ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554 089 033,33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551 994 904,74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99,6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604 1 13 02994 04 0000 130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12 000,00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604 1 16 01074 01 0000 140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36 891,67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604 1 16 01154 01 0000 140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56 700,00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57 500,00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101,4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604 1 16 01157 01 0000 140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области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финансов,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связанные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с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нецелевым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использованием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13 400,00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15 000,00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111,9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604 1 16 01194 01 0000 140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604 2 02 15002 04 0000 150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Дотации бюджетам городских округов на поддержку мер по обеспечению сбалансированности бюджетов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111 035 020,00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111 035 020,00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604 2 02 29999 04 0065 150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субсидии бюджетам городских округов (осуществление функций административного центра Ставропольского края)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428 330 830,41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426 205 410,15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99,5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604 2 02 49999 04 1255 150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межбюджетные трансферты,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передаваемые бюджетам городских округов (осуществление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14 633 082,92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14 633 082,92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КОМИТЕТ ЭКОНОМИЧЕСКОГО РАЗВИТИЯ И ТОРГОВЛИ АДМИНИСТРАЦИИ ГОРОДА СТАВРОПОЛЯ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49 756 111,56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48 647 980,30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97,8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605 1 11 05034 04 0000 120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139 046,46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605 1 11 09080 04 0000 120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11 617 703,46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10 326 281,73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88,9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605 1 13 01994 04 0000 130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1 795 770,00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1 827 968,04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101,8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605 1 13 02994 04 0000 130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19 352,37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19 352,37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605 1 16 07010 04 0000 140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37 545,73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37 545,73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605 1 16 07090 04 0000 140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605 1 16 10031 04 0000 140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67 244,00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61 800,00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91,9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605 1 17 01040 04 0000 180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17 489,97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605 2 02 49999 04 0049 150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межбюджетные трансферты, передаваемые бюджетам городских округов (средства резервного фонда Правительства Ставропольского края)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26 270 496,00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26 270 496,00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605 2 02 49999 04 1299 150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межбюджетные трансферты, передаваемые бюджетам городских округов (достижение показателей государственной программы Российской Федерации «Развитие туризма»)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9 945 000,00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9 945 000,00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189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КОМИТЕТ ОБРАЗОВАНИЯ АДМИНИСТРАЦИИ ГОРОДА СТАВРОПОЛЯ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5 591 654 387,66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5 583 331 694,73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99,9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3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606 1 13 02994 04 0000 130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10 713 347,20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10 713 347,20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79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606 2 02 25304 04 0000 150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336 568 799,75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336 568 799,75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79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606 2 02 25750 04 0000 150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Субсидии бюджетам городских округов на реализацию мероприятий по модернизации школьных систем образования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505 582 944,29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498 264 666,05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98,6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79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606 2 02 29999 04 1237 150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субсидии бюджетам городских округов (укрепление материально-технической базы муниципальных общеобразовательных организаций)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12 914 897,28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12 914 897,28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79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606 2 02 29999 04 1309 150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субсидии бюджетам городских округов (возведение некапитальных строений, сооружений (быстровозводимых конструкций) муниципальных общеобразовательных организаций)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867 549 500,00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867 549 500,00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79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606 2 02 30024 04 0028 150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 (организация и осуществление деятельности по опеке и попечительству в области образования)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26 997 983,85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26 037 259,98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96,4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35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606 2 02 30024 04 1107 150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1 276 037 311,00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1 276 037 311,00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606 2 02 30024 04 1108 150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начального общего,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2 121 816 462,65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2 121 816 462,65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основного общего, среднего общего образования в муниципальных общеобразовательных организ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606 2 02 30024 04 1256 150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(организация и обеспечение отдыха и оздоровления детей)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26 378 131,78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26 378 131,78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606 2 02 30024 04 1287 150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дерации (обеспечение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10 113 446,20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10 098 405,27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99,9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606 2 02 30029 04 0000 150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119 689 266,90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119 660 617,03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606 2 02 35179 04 0000 150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12 230 689,06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12 230 689,04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606 2 02 35303 04 0000 150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ежемесячное денежное вознаграждение за классное руководство педагогич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167 905 099,41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167 905 099,41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606 2 02 39998 04 1158 150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Единая субвенция бюджетам городских округов (осуществление отдельных государственных полномочий по социальной поддержке семьи и детей)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61 189 279,42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61 189 279,42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606 2 02 39999 04 0000 150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субвенции бюджетам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4 609 080,00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4 609 080,00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606 2 02 49999 04 1217 150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е межбюджетные трансферты, передаваемые бюджетам городских округов (приобретение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30 567 600,00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30 567 600,00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606 2 18 04010 04 0000 150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бюджетов городских округов от возврата бюджетными учреждениями остатков субсидий прошлых лет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1 928 584,75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1 928 584,75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606 2 19 25304 04 0000 150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-209 832,47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-209 832,47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606 2 19 25750 04 0000 150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Возврат остатков субсидий на реализацию мероприятий по модернизации школьных систем образования из бюджетов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-189 396,02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-189 396,02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606 2 19 60010 04 0000 150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-738 807,39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-738 807,39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КОМИТЕТ КУЛЬТУРЫ И МОЛОДЕЖНОЙ ПОЛИТИКИ АДМИНИСТРАЦИИ ГОРОДА СТАВРОПОЛЯ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42 819 939,08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42 819 939,08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607 2 02 25116 04 0000 150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Субсидии бюджетам городских округов на реализацию программы комплексного развития молодежной политики в субъектах Российской Федерации «Регион для молодых»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40 000 000,00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40 000 000,00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607 2 02 25519 04 0000 150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Субсидия бюджетам городских округов на поддержку отрасли культуры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2 819 939,08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2 819 939,08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КОМИТЕТ ТРУДА И СОЦИАЛЬНОЙ ЗАЩИТЫ НАСЕЛЕНИЯ АДМИНИСТРАЦИИ ГОРОДА СТАВРОПОЛЯ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2 273 472 841,29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2 273 014 797,53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609 1 13 02994 04 0000 130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9 284 976,45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8 669 403,47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93,4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609 1 16 07010 04 0000 140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6 752,70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1 069,08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15,8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609 1 16 10100 04 0000 140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265 886,02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609 1 17 01040 04 0000 180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-1 972,64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609 2 02 30024 04 0026 150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здравоохранения)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3 005 742,81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3 005 742,81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609 2 02 30024 04 0040 150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(предоставление государственной социальной помощи малоимущим семьям, малоимущим одиноко проживающим гражданам)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14 926 705,39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14 926 571,11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609 2 02 30024 04 0041 150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(выплата ежемесячной денежной компенсации на каждого ребенка в возрасте до 18 лет многодетным семьям)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179 609 378,92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179 609 378,92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609 2 02 30024 04 0042 150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(выплата ежегодного социального пособия на проезд студентам)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1 049 282,17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1 048 890,81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609 2 02 30024 04 0147 150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в области труда и социальной защиты отдельных категорий граждан)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93 719 573,61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93 703 837,11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609 2 02 30024 04 1122 150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Российской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Федерации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(выплата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ежегодной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денежной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компенсации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52 979 940,21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52 978 338,76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609 2 02 30024 04 1221 150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одских округов на выполнение передаваемых полномочий субъектов Российской Федерации (ежегодная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104 257 604,58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104 257 604,58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609 2 02 30024 04 1260 150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выплаты социального пособия на погребение)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2 696 751,63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2 613 914,70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96,9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609 2 02 35084 04 0000 150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19 358 957,78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19 358 957,77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609 2 02 35220 04 0000 150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28 255 821,98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28 255 821,98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609 2 02 35250 04 0000 150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оплату жилищно-коммунальных услуг отдельным категориям граждан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571 000 000,00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571 000 000,00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609 2 02 35404 04 0000 150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212 574 003,60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212 574 003,59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609 2 02 35462 04 0000 150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28 400 000,00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28 400 000,00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609 2 02 39998 04 1157 150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Единая субвенция бюджетам городских округов (осуществление отдельных государственных полномочий по социальной защите отдельных категорий граждан)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961 571 570,37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961 571 570,37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609 2 19 35084 04 0000 150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Возврат остатков субвенций на ежемесячную денежную выплату, назначаемую в случае рождения третьего ребенка или последующих детей до достижения ребенком возраста трех лет, из бюджетов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-200,00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-200,00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609 2 19 35250 04 0000 150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Возврат остатков субвенций на оплату жилищно-коммунальных услуг отдельным категориям граждан из бюджетов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-1 365 738,11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-1 365 738,11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609 2 19 35404 04 0000 150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Возврат остатков субвенций на софинансирование расходов, связанных с оказанием государственной социальной помощи на основании социального контракта отдельным категориям граждан, из бюджетов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-5 960 805,32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-5 960 805,32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609 2 19 60010 04 0000 150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-1 897 477,48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-1 897 477,48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КОМИТЕТ ФИЗИЧЕСКОЙ КУЛЬТУРЫ И СПОРТА АДМИНИСТРАЦИИ ГОРОДА СТАВРОПОЛЯ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641,43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611 1 16 10061 04 0000 140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Платежи в целях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641,43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АДМИНИСТРАЦИЯ ЛЕНИНСКОГО РАЙОНА ГОРОДА СТАВРОПОЛЯ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17 095 928,85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17 134 859,51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617 1 11 09044 04 0200 120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поступления от использования имуществ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 помещением (плата за наем)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729 445,00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711 646,87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97,6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617 1 13 02994 04 0000 130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629 253,82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629 253,82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617 1 16 02020 02 0000 140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176 250,47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273 779,26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155,3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617 1 16 07010 04 0000 140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474 141,00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474 141,00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617 1 16 10031 04 0000 140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81 600,00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40 800,00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617 1 16 10123 01 0000 140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5 238,56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5 238,56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617 1 17 15020 04 0101 150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Инициативные платежи, зачисляемые в бюджеты городских округов (поступления средств от физических лиц на реализацию инициативного проекта «Благоустройство территории в районе домов № 74/17 и № 88 по ул. Ленина в городе Ставрополь Ставропольского края»)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617 1 17 15020 04 0102 150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Инициативные платежи, зачисляемые в бюджеты городских округов (поступления средств от физических лиц на реализацию инициативного проекта «Благоустройство территории в районе дома № 22 по пер. Каховскому в городе Ставрополь Ставропольского края»)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617 1 17 15020 04 0301 150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Инициативные платежи, зачисляемые в бюджеты городских округов (поступления средств от организаций на реализацию инициативного проекта «Благоустройство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1 200 000,00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1 200 000,00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территории в районе домов № 74/17 и № 88 по ул. Ленина в городе Ставрополь Ставропольского края»)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617 1 17 15020 04 0302 150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Инициативные платежи, зачисляемые в бюджеты городских округов (поступления средств от организаций на реализацию инициативного проекта «Благоустройство территории в районе дома № 22 по пер. Каховскому в городе Ставрополь Ставропольского края»)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1 200 000,00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1 200 000,00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617 2 02 29999 04 1254 150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субсидии бюджетам городских округов (реализация инициативных проектов)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12 000 000,00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12 000 000,00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АДМИНИСТРАЦИЯ ОКТЯБРЬСКОГО РАЙОНА ГОРОДА СТАВРОПОЛЯ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11 314 147,36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273 070,35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2,4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618 1 11 09044 04 0200 120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поступления от использования имуществ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 помещением (плата за наем)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749 009,00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672 977,48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89,8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618 1 13 02994 04 0000 130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174 098,23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174 098,23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618 1 16 02020 02 0000 140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148 320,00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157 617,51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106,3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618 2 02 29999 04 1262 150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субсидии бюджетам городских округов (проведение работ по сохранению объектов культурного наследия (памятников истории и культуры) народов Российской Федерации)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10 974 343,00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618 2 19 60010 04 0000 150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-731 622,87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-731 622,87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АДМИНИСТРАЦИЯ ПРОМЫШЛЕННОГО РАЙОНА ГОРОДА СТАВРОПОЛЯ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73 373 980,71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64 772 898,91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88,3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vAlign w:val="bottom"/>
            <w:textDirection w:val="lrTb"/>
            <w:noWrap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vAlign w:val="bottom"/>
            <w:textDirection w:val="lrTb"/>
            <w:noWrap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619 1 11 09044 04 0200 120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поступления от использования имуществ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 помещением (плата за наем)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2 240 443,00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1 832 218,83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81,8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619 1 13 02994 04 0000 130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228 963,00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25 700,26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11,2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619 1 16 02020 02 0000 140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4 900 000,00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5 321 721,79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108,6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619 1 16 07010 04 0000 140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(подрядчиком,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исполнителем)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обязательств,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предусмотренных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677 616,00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муниципальным контрактом, заключенным муниципальным органом, казенным учреждением городского округа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619 1 16 10061 04 0000 140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Платежи в целях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7 500,00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619 1 16 10123 01 0000 140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48 636,15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619 1 17 01040 04 0000 180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65,20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619 1 17 15020 04 0103 150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Иници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ативные платежи, зачисляемые в бюджеты городских округов (поступления средств от физических лиц на реализацию инициативного проекта «Благоустройство дворовой территории в районе домов № 10, 12, 14 по просп. Юности в городе Ставрополь Ставропольского края»)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300 230,00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300 230,00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619 1 17 15020 04 0104 150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Инициативные платежи, зачисляемые в бюджеты городских округов (поступления средств от физических лиц на реализацию инициативного проекта «Благоустройство территории в районе завода «Нептун» в городе Ставрополь Ставропольского края»)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300 790,00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300 790,00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619 1 17 15020 04 0105 150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Иници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ативные платежи, зачисляемые в бюджеты городских округов (поступления средств от физических лиц на реализацию инициативного проекта «Благоустройство общественной территории в районе урочища «Таманская лесная дача» в городе Ставрополь Ставропольского края»)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25 000,00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25 000,00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619 1 17 15020 04 0303 150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ициативные платежи, зачисляемые в бюджеты городских округов (поступления средств от организаций на реализацию инициативного проекта «Благоустройство дворовой территории в районе домов № 10, 12, 14 по просп. Юности в городе Ставрополь Ставропольского края»)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1 200 000,00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1 200 000,00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619 1 17 15020 04 0304 150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Инициативные платежи, зачисляемые в бюджеты городских округов (поступления средств от организаций на реализацию инициативного проекта «Благоустройство территории в районе завода «Нептун» в городе Ставрополь Ставропольского края»)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1 200 000,00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1 200 000,00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619 2 02 29999 04 1254 150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субсидии бюджетам городских округов (реализация инициативных проектов)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11 798 067,62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11 798 067,62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619 2 02 29999 04 1295 150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субсидии бюджетам городских округов (реализация мероприятий по благоустройству детских площадок в муниципальных округах и городских округах)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21 405 961,09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13 616 059,06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63,6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619 2 02 49999 04 0049 150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межбюджетные трансферты, передаваемые бюджетам городских округов (средства резервного фонда Правительства Ставропольского края)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29 096 910,00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29 096 910,00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КОМИТЕТ ГОРОДСКОГО ХОЗЯЙСТВА АДМИНИСТРАЦИИ ГОРОДА СТАВРОПОЛЯ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2 610 393 920,52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2 260 210 321,68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86,6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vAlign w:val="bottom"/>
            <w:textDirection w:val="lrTb"/>
            <w:noWrap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vAlign w:val="bottom"/>
            <w:textDirection w:val="lrTb"/>
            <w:noWrap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620 1 11 09044 04 0300 120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поступления от испол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право заключения контракта)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620 1 13 01994 04 0000 130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5 508 000,00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5 826 750,00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105,8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620 1 13 02994 04 0000 130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4 575 270,14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4 603 969,43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620 1 16 07010 04 0000 140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215 000,00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1 515 000,00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704,7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620 1 17 01040 04 0000 180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5 075,52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620 1 17 05040 04 0000 180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неналоговые доходы бюджетов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28 759 340,95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29 926 170,70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104,1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620 2 02 20077 04 1153 150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(строительство (реконструкция) объектов коммунальной инфраструктуры)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1 271 601 690,00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938 814 771,41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73,8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620 2 02 20216 04 0000 150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Субсидии бюджетам городски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1 214 651 493,02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1 194 590 615,09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98,3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620 2 02 25418 04 0000 150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33 143 012,44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33 143 012,44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620 2 02 25555 04 0000 150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Субсидии бюджетам городских округов на реализацию программ формирования современной городской среды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43 734 306,73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43 734 306,73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620 2 02 30024 04 1303 150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(мероприятия в области обращения с животными без владельцев)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8 297 465,48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8 142 308,60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98,1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620 2 19 25418 04 0000 150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Воз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врат остатков субсидий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из бюджетов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-91 658,25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-91 658,25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КОМИТЕТ ГРАДОСТРОИТЕЛЬСТВА АДМИНИСТРАЦИИ ГОРОДА СТАВРОПОЛЯ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1 142 103 188,27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1 117 829 224,63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97,9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vAlign w:val="bottom"/>
            <w:textDirection w:val="lrTb"/>
            <w:noWrap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vAlign w:val="bottom"/>
            <w:textDirection w:val="lrTb"/>
            <w:noWrap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621 1 08 07150 01 0000 110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Государственная пошлина за выдачу разрешения на установку рекламной конструкции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165 000,00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180 000,00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109,1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621 1 11 09044 04 0100 120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поступления от использования имущества, находящегося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по договорам на установку и эксплуатацию рекламной конструкции)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1 555 200,00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1 586 044,80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102,0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621 1 11 09044 04 0102 120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поступления от использования имущества, находящегося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право заключения договора о комплексном развитии территории)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732 500,00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732 500,00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621 1 11 09080 04 0000 120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76 555 930,00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76 555 930,00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621 1 13 01994 04 0000 130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6 726 000,00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7 457 046,14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110,9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621 1 13 02994 04 0000 130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6 616 810,03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6 632 971,81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621 1 16 07010 04 0000 140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150 901,14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150 901,14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621 1 16 10123 01 0000 140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1 825 000,00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1 825 000,00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621 1 17 01040 04 0000 180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-263 634,02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621 2 02 20077 04 0152 150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(строительство (реконструкция) объектов  дошкольных образовательных организаций)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175 491 683,24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175 491 683,24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621 2 02 25318 04 0000 150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Субсидии бюджетам городских округов на реализацию проектов комплексного развития территорий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748 653 930,00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748 653 930,00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621 2 02 49999 04 0049 150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межбюджетные трансферты, передаваемые бюджетам городских округов (средства резервного фонда Правительства Ставропольского края)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133 194 680,00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108 391 297,66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81,4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621 2 19 25232 04 0000 150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Возврат остатков субсидий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из бюджетов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-68 553,54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-68 553,54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621 2 19 60010 04 0000 150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-9 495 892,60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-9 495 892,60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622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КОМИТЕТ ПО ОРГАНИЗАЦИИ ТРАНСПОРТНОГО ОБСЛУЖИВАНИЯ НАСЕЛЕНИЯ ГОРОДА СТАВРОПОЛЯ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vAlign w:val="bottom"/>
            <w:textDirection w:val="lrTb"/>
            <w:noWrap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vAlign w:val="bottom"/>
            <w:textDirection w:val="lrTb"/>
            <w:noWrap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622 1 11 09044 04 0300 120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поступления от испол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право заключения контракта)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624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КОМИТЕТ ПО ДЕЛАМ ГРАЖДАНСКОЙ ОБОРОНЫ И ЧРЕЗВЫЧАЙНЫМ СИТУАЦИЯМ АДМИНИСТРАЦИИ ГОРОДА СТАВРОПОЛЯ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7 369,16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7 369,16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vAlign w:val="bottom"/>
            <w:textDirection w:val="lrTb"/>
            <w:noWrap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vAlign w:val="bottom"/>
            <w:textDirection w:val="lrTb"/>
            <w:noWrap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624 1 13 02994 04 0000 130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4 369,16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4 369,16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624 1 16 07010 04 0000 140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643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КОНТРОЛЬНО-СЧЕТНАЯ ПАЛАТА ГОРОДА СТАВРОПОЛЯ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28 981,73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28 981,73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643 1 13 02994 04 0000 130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8 981,73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8 981,73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643 1 16 01154 01 0000 140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20 000,00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100,0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51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ВСЕГО ДОХОДОВ: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vAlign w:val="bottom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22 018 207 437,16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vAlign w:val="bottom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21 330 551 512,38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96,9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</w:tbl>
    <w:p>
      <w:p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-709" w:right="-32" w:firstLine="709"/>
        <w:spacing w:line="240" w:lineRule="exact"/>
        <w:tabs>
          <w:tab w:val="left" w:pos="6300" w:leader="none"/>
        </w:tabs>
        <w:rPr>
          <w:rFonts w:eastAsia="Calibri"/>
          <w:b w:val="0"/>
          <w:bCs w:val="0"/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</w:rPr>
        <w:t xml:space="preserve">Председатель</w:t>
      </w:r>
      <w:r>
        <w:rPr>
          <w:rFonts w:eastAsia="Calibri"/>
          <w:b w:val="0"/>
          <w:bCs w:val="0"/>
          <w:sz w:val="28"/>
          <w:szCs w:val="28"/>
        </w:rPr>
      </w:r>
      <w:r>
        <w:rPr>
          <w:rFonts w:eastAsia="Calibri"/>
          <w:b w:val="0"/>
          <w:bCs w:val="0"/>
          <w:sz w:val="28"/>
          <w:szCs w:val="28"/>
        </w:rPr>
      </w:r>
    </w:p>
    <w:p>
      <w:pPr>
        <w:ind w:left="-709" w:right="-142" w:firstLine="709"/>
        <w:spacing w:line="240" w:lineRule="exact"/>
        <w:tabs>
          <w:tab w:val="left" w:pos="6300" w:leader="none"/>
        </w:tabs>
        <w:rPr>
          <w:rFonts w:eastAsia="Calibri"/>
          <w:b w:val="0"/>
          <w:bCs w:val="0"/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</w:rPr>
        <w:t xml:space="preserve">Ставропольской городской Думы </w:t>
      </w:r>
      <w:r>
        <w:rPr>
          <w:rFonts w:eastAsia="Calibri"/>
          <w:b w:val="0"/>
          <w:bCs w:val="0"/>
          <w:sz w:val="28"/>
          <w:szCs w:val="28"/>
        </w:rPr>
        <w:t xml:space="preserve">                               </w:t>
      </w:r>
      <w:r>
        <w:rPr>
          <w:rFonts w:eastAsia="Calibri"/>
          <w:b w:val="0"/>
          <w:bCs w:val="0"/>
          <w:sz w:val="28"/>
          <w:szCs w:val="28"/>
        </w:rPr>
        <w:t xml:space="preserve">    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  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rFonts w:eastAsia="Calibri"/>
          <w:b w:val="0"/>
          <w:bCs w:val="0"/>
          <w:sz w:val="28"/>
          <w:szCs w:val="28"/>
        </w:rPr>
        <w:t xml:space="preserve">     </w:t>
      </w:r>
      <w:r>
        <w:rPr>
          <w:rFonts w:eastAsia="Calibri"/>
          <w:b w:val="0"/>
          <w:bCs w:val="0"/>
          <w:sz w:val="28"/>
          <w:szCs w:val="28"/>
        </w:rPr>
        <w:t xml:space="preserve"> </w:t>
      </w:r>
      <w:r>
        <w:rPr>
          <w:rFonts w:eastAsia="Calibri"/>
          <w:b w:val="0"/>
          <w:bCs w:val="0"/>
          <w:sz w:val="28"/>
          <w:szCs w:val="28"/>
        </w:rPr>
        <w:t xml:space="preserve">Г.С.Колягин</w:t>
      </w:r>
      <w:r>
        <w:rPr>
          <w:rFonts w:eastAsia="Calibri"/>
          <w:b w:val="0"/>
          <w:bCs w:val="0"/>
          <w:sz w:val="28"/>
          <w:szCs w:val="28"/>
        </w:rPr>
      </w:r>
      <w:r>
        <w:rPr>
          <w:rFonts w:eastAsia="Calibri"/>
          <w:b w:val="0"/>
          <w:bCs w:val="0"/>
          <w:sz w:val="28"/>
          <w:szCs w:val="28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6838" w:h="11906" w:orient="landscape"/>
      <w:pgMar w:top="1984" w:right="822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right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88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right"/>
    </w:pPr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88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0"/>
    <w:next w:val="880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1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0"/>
    <w:next w:val="880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1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1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1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1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1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1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0"/>
    <w:next w:val="880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1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0"/>
    <w:next w:val="880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1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0"/>
    <w:uiPriority w:val="34"/>
    <w:qFormat/>
    <w:pPr>
      <w:contextualSpacing/>
      <w:ind w:left="720"/>
    </w:pPr>
  </w:style>
  <w:style w:type="paragraph" w:styleId="725">
    <w:name w:val="Title"/>
    <w:basedOn w:val="880"/>
    <w:next w:val="880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>
    <w:name w:val="Title Char"/>
    <w:basedOn w:val="881"/>
    <w:link w:val="725"/>
    <w:uiPriority w:val="10"/>
    <w:rPr>
      <w:sz w:val="48"/>
      <w:szCs w:val="48"/>
    </w:rPr>
  </w:style>
  <w:style w:type="paragraph" w:styleId="727">
    <w:name w:val="Subtitle"/>
    <w:basedOn w:val="880"/>
    <w:next w:val="880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1"/>
    <w:link w:val="727"/>
    <w:uiPriority w:val="11"/>
    <w:rPr>
      <w:sz w:val="24"/>
      <w:szCs w:val="24"/>
    </w:rPr>
  </w:style>
  <w:style w:type="paragraph" w:styleId="729">
    <w:name w:val="Quote"/>
    <w:basedOn w:val="880"/>
    <w:next w:val="880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0"/>
    <w:next w:val="880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character" w:styleId="733">
    <w:name w:val="Header Char"/>
    <w:basedOn w:val="881"/>
    <w:link w:val="885"/>
    <w:uiPriority w:val="99"/>
  </w:style>
  <w:style w:type="character" w:styleId="734">
    <w:name w:val="Footer Char"/>
    <w:basedOn w:val="881"/>
    <w:link w:val="888"/>
    <w:uiPriority w:val="99"/>
  </w:style>
  <w:style w:type="paragraph" w:styleId="735">
    <w:name w:val="Caption"/>
    <w:basedOn w:val="880"/>
    <w:next w:val="880"/>
    <w:link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881"/>
    <w:link w:val="735"/>
    <w:uiPriority w:val="35"/>
    <w:rPr>
      <w:b/>
      <w:bCs/>
      <w:color w:val="4f81bd" w:themeColor="accent1"/>
      <w:sz w:val="18"/>
      <w:szCs w:val="18"/>
    </w:rPr>
  </w:style>
  <w:style w:type="table" w:styleId="737">
    <w:name w:val="Table Grid"/>
    <w:basedOn w:val="8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7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8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9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0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1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2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basedOn w:val="881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basedOn w:val="881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character" w:styleId="884" w:customStyle="1">
    <w:name w:val="Верхний колонтитул Знак"/>
    <w:basedOn w:val="881"/>
    <w:link w:val="885"/>
    <w:uiPriority w:val="99"/>
    <w:rPr>
      <w:rFonts w:ascii="Calibri" w:hAnsi="Calibri" w:eastAsia="Calibri" w:cs="Times New Roman"/>
    </w:rPr>
  </w:style>
  <w:style w:type="paragraph" w:styleId="885">
    <w:name w:val="Header"/>
    <w:basedOn w:val="880"/>
    <w:link w:val="884"/>
    <w:uiPriority w:val="99"/>
    <w:unhideWhenUsed/>
    <w:pPr>
      <w:spacing w:after="200" w:line="276" w:lineRule="auto"/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character" w:styleId="886" w:customStyle="1">
    <w:name w:val="Верхний колонтитул Знак1"/>
    <w:basedOn w:val="88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7" w:customStyle="1">
    <w:name w:val="Нижний колонтитул Знак"/>
    <w:basedOn w:val="881"/>
    <w:link w:val="888"/>
    <w:uiPriority w:val="99"/>
    <w:semiHidden/>
  </w:style>
  <w:style w:type="paragraph" w:styleId="888">
    <w:name w:val="Footer"/>
    <w:basedOn w:val="880"/>
    <w:link w:val="887"/>
    <w:uiPriority w:val="99"/>
    <w:semiHidden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89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890">
    <w:name w:val="Hyperlink"/>
    <w:basedOn w:val="881"/>
    <w:uiPriority w:val="99"/>
    <w:semiHidden/>
    <w:unhideWhenUsed/>
    <w:rPr>
      <w:color w:val="0000ff"/>
      <w:u w:val="single"/>
    </w:rPr>
  </w:style>
  <w:style w:type="character" w:styleId="891">
    <w:name w:val="FollowedHyperlink"/>
    <w:basedOn w:val="881"/>
    <w:uiPriority w:val="99"/>
    <w:semiHidden/>
    <w:unhideWhenUsed/>
    <w:rPr>
      <w:color w:val="800080"/>
      <w:u w:val="single"/>
    </w:rPr>
  </w:style>
  <w:style w:type="paragraph" w:styleId="892" w:customStyle="1">
    <w:name w:val="xl375"/>
    <w:basedOn w:val="880"/>
    <w:pPr>
      <w:spacing w:before="100" w:beforeAutospacing="1" w:after="100" w:afterAutospacing="1"/>
    </w:pPr>
  </w:style>
  <w:style w:type="paragraph" w:styleId="893" w:customStyle="1">
    <w:name w:val="xl376"/>
    <w:basedOn w:val="880"/>
    <w:pPr>
      <w:spacing w:before="100" w:beforeAutospacing="1" w:after="100" w:afterAutospacing="1"/>
      <w:shd w:val="clear" w:color="000000" w:fill="ffff00"/>
    </w:pPr>
  </w:style>
  <w:style w:type="paragraph" w:styleId="894" w:customStyle="1">
    <w:name w:val="xl377"/>
    <w:basedOn w:val="880"/>
    <w:pPr>
      <w:spacing w:before="100" w:beforeAutospacing="1" w:after="100" w:afterAutospacing="1"/>
      <w:shd w:val="clear" w:color="000000" w:fill="ff0000"/>
    </w:pPr>
  </w:style>
  <w:style w:type="paragraph" w:styleId="895" w:customStyle="1">
    <w:name w:val="xl378"/>
    <w:basedOn w:val="880"/>
    <w:pPr>
      <w:spacing w:before="100" w:beforeAutospacing="1" w:after="100" w:afterAutospacing="1"/>
      <w:shd w:val="clear" w:color="000000" w:fill="ffff00"/>
    </w:pPr>
  </w:style>
  <w:style w:type="paragraph" w:styleId="896" w:customStyle="1">
    <w:name w:val="xl379"/>
    <w:basedOn w:val="88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897" w:customStyle="1">
    <w:name w:val="xl380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898" w:customStyle="1">
    <w:name w:val="xl381"/>
    <w:basedOn w:val="880"/>
    <w:pPr>
      <w:spacing w:before="100" w:beforeAutospacing="1" w:after="100" w:afterAutospacing="1"/>
      <w:shd w:val="clear" w:color="000000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9" w:customStyle="1">
    <w:name w:val="xl382"/>
    <w:basedOn w:val="880"/>
    <w:pPr>
      <w:spacing w:before="100" w:beforeAutospacing="1" w:after="100" w:afterAutospacing="1"/>
      <w:shd w:val="clear" w:color="000000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0" w:customStyle="1">
    <w:name w:val="xl383"/>
    <w:basedOn w:val="88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1" w:customStyle="1">
    <w:name w:val="xl384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2" w:customStyle="1">
    <w:name w:val="xl385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3" w:customStyle="1">
    <w:name w:val="xl386"/>
    <w:basedOn w:val="880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04" w:customStyle="1">
    <w:name w:val="xl387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05" w:customStyle="1">
    <w:name w:val="xl388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06" w:customStyle="1">
    <w:name w:val="xl389"/>
    <w:basedOn w:val="88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  <w:sz w:val="20"/>
      <w:szCs w:val="20"/>
    </w:rPr>
  </w:style>
  <w:style w:type="paragraph" w:styleId="907" w:customStyle="1">
    <w:name w:val="xl390"/>
    <w:basedOn w:val="880"/>
    <w:pPr>
      <w:spacing w:before="100" w:beforeAutospacing="1" w:after="100" w:afterAutospacing="1"/>
      <w:shd w:val="clear" w:color="000000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8" w:customStyle="1">
    <w:name w:val="xl391"/>
    <w:basedOn w:val="880"/>
    <w:pPr>
      <w:jc w:val="center"/>
      <w:spacing w:before="100" w:beforeAutospacing="1" w:after="100" w:afterAutospacing="1"/>
      <w:shd w:val="clear" w:color="000000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9" w:customStyle="1">
    <w:name w:val="xl392"/>
    <w:basedOn w:val="880"/>
    <w:pPr>
      <w:jc w:val="center"/>
      <w:spacing w:before="100" w:beforeAutospacing="1" w:after="100" w:afterAutospacing="1"/>
      <w:shd w:val="clear" w:color="000000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0" w:customStyle="1">
    <w:name w:val="xl393"/>
    <w:basedOn w:val="880"/>
    <w:pPr>
      <w:jc w:val="right"/>
      <w:spacing w:before="100" w:beforeAutospacing="1" w:after="100" w:afterAutospacing="1"/>
      <w:shd w:val="clear" w:color="000000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1" w:customStyle="1">
    <w:name w:val="xl394"/>
    <w:basedOn w:val="880"/>
    <w:pPr>
      <w:spacing w:before="100" w:beforeAutospacing="1" w:after="100" w:afterAutospacing="1"/>
      <w:shd w:val="clear" w:color="000000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2" w:customStyle="1">
    <w:name w:val="xl395"/>
    <w:basedOn w:val="880"/>
    <w:pPr>
      <w:jc w:val="center"/>
      <w:spacing w:before="100" w:beforeAutospacing="1" w:after="100" w:afterAutospacing="1"/>
      <w:shd w:val="clear" w:color="000000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3" w:customStyle="1">
    <w:name w:val="xl396"/>
    <w:basedOn w:val="880"/>
    <w:pPr>
      <w:jc w:val="center"/>
      <w:spacing w:before="100" w:beforeAutospacing="1" w:after="100" w:afterAutospacing="1"/>
      <w:shd w:val="clear" w:color="000000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4" w:customStyle="1">
    <w:name w:val="xl397"/>
    <w:basedOn w:val="880"/>
    <w:pPr>
      <w:jc w:val="right"/>
      <w:spacing w:before="100" w:beforeAutospacing="1" w:after="100" w:afterAutospacing="1"/>
      <w:shd w:val="clear" w:color="000000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5" w:customStyle="1">
    <w:name w:val="xl398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6" w:customStyle="1">
    <w:name w:val="xl399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7" w:customStyle="1">
    <w:name w:val="xl400"/>
    <w:basedOn w:val="88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8" w:customStyle="1">
    <w:name w:val="xl401"/>
    <w:basedOn w:val="880"/>
    <w:pPr>
      <w:spacing w:before="100" w:beforeAutospacing="1" w:after="100" w:afterAutospacing="1"/>
    </w:pPr>
    <w:rPr>
      <w:sz w:val="20"/>
      <w:szCs w:val="20"/>
    </w:rPr>
  </w:style>
  <w:style w:type="paragraph" w:styleId="919" w:customStyle="1">
    <w:name w:val="xl402"/>
    <w:basedOn w:val="88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0" w:customStyle="1">
    <w:name w:val="xl403"/>
    <w:basedOn w:val="88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1" w:customStyle="1">
    <w:name w:val="xl404"/>
    <w:basedOn w:val="880"/>
    <w:pPr>
      <w:spacing w:before="100" w:beforeAutospacing="1" w:after="100" w:afterAutospacing="1"/>
      <w:shd w:val="clear" w:color="000000" w:fill="92d050"/>
    </w:pPr>
  </w:style>
  <w:style w:type="paragraph" w:styleId="922" w:customStyle="1">
    <w:name w:val="xl405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23" w:customStyle="1">
    <w:name w:val="xl406"/>
    <w:basedOn w:val="88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24" w:customStyle="1">
    <w:name w:val="xl407"/>
    <w:basedOn w:val="880"/>
    <w:pPr>
      <w:spacing w:before="100" w:beforeAutospacing="1" w:after="100" w:afterAutospacing="1"/>
    </w:pPr>
  </w:style>
  <w:style w:type="paragraph" w:styleId="925" w:customStyle="1">
    <w:name w:val="xl408"/>
    <w:basedOn w:val="88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6" w:customStyle="1">
    <w:name w:val="xl409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7" w:customStyle="1">
    <w:name w:val="xl410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8" w:customStyle="1">
    <w:name w:val="xl411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9" w:customStyle="1">
    <w:name w:val="xl412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0" w:customStyle="1">
    <w:name w:val="xl413"/>
    <w:basedOn w:val="880"/>
    <w:pPr>
      <w:spacing w:before="100" w:beforeAutospacing="1" w:after="100" w:afterAutospacing="1"/>
    </w:pPr>
    <w:rPr>
      <w:b/>
      <w:bCs/>
    </w:rPr>
  </w:style>
  <w:style w:type="paragraph" w:styleId="931" w:customStyle="1">
    <w:name w:val="xl414"/>
    <w:basedOn w:val="880"/>
    <w:pPr>
      <w:spacing w:before="100" w:beforeAutospacing="1" w:after="100" w:afterAutospacing="1"/>
    </w:pPr>
    <w:rPr>
      <w:b/>
      <w:bCs/>
      <w:sz w:val="20"/>
      <w:szCs w:val="20"/>
    </w:rPr>
  </w:style>
  <w:style w:type="paragraph" w:styleId="932" w:customStyle="1">
    <w:name w:val="xl415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3" w:customStyle="1">
    <w:name w:val="xl416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4" w:customStyle="1">
    <w:name w:val="xl417"/>
    <w:basedOn w:val="88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5" w:customStyle="1">
    <w:name w:val="xl418"/>
    <w:basedOn w:val="880"/>
    <w:pPr>
      <w:spacing w:before="100" w:beforeAutospacing="1" w:after="100" w:afterAutospacing="1"/>
    </w:pPr>
    <w:rPr>
      <w:i/>
      <w:iCs/>
    </w:rPr>
  </w:style>
  <w:style w:type="paragraph" w:styleId="936" w:customStyle="1">
    <w:name w:val="xl419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7" w:customStyle="1">
    <w:name w:val="xl420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8" w:customStyle="1">
    <w:name w:val="xl421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9" w:customStyle="1">
    <w:name w:val="xl422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0" w:customStyle="1">
    <w:name w:val="xl423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1" w:customStyle="1">
    <w:name w:val="xl424"/>
    <w:basedOn w:val="880"/>
    <w:pPr>
      <w:jc w:val="center"/>
      <w:spacing w:before="100" w:beforeAutospacing="1" w:after="100" w:afterAutospacing="1"/>
      <w:shd w:val="clear" w:color="000000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2" w:customStyle="1">
    <w:name w:val="xl425"/>
    <w:basedOn w:val="88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3" w:customStyle="1">
    <w:name w:val="xl426"/>
    <w:basedOn w:val="88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4" w:customStyle="1">
    <w:name w:val="xl427"/>
    <w:basedOn w:val="880"/>
    <w:pPr>
      <w:spacing w:before="100" w:beforeAutospacing="1" w:after="100" w:afterAutospacing="1"/>
    </w:pPr>
    <w:rPr>
      <w:sz w:val="20"/>
      <w:szCs w:val="20"/>
    </w:rPr>
  </w:style>
  <w:style w:type="paragraph" w:styleId="945" w:customStyle="1">
    <w:name w:val="xl428"/>
    <w:basedOn w:val="88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6" w:customStyle="1">
    <w:name w:val="xl429"/>
    <w:basedOn w:val="88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7" w:customStyle="1">
    <w:name w:val="xl430"/>
    <w:basedOn w:val="880"/>
    <w:pPr>
      <w:jc w:val="right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8" w:customStyle="1">
    <w:name w:val="xl431"/>
    <w:basedOn w:val="88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9" w:customStyle="1">
    <w:name w:val="xl432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0" w:customStyle="1">
    <w:name w:val="xl433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1" w:customStyle="1">
    <w:name w:val="xl434"/>
    <w:basedOn w:val="88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2" w:customStyle="1">
    <w:name w:val="xl435"/>
    <w:basedOn w:val="880"/>
    <w:pPr>
      <w:spacing w:before="100" w:beforeAutospacing="1" w:after="100" w:afterAutospacing="1"/>
      <w:shd w:val="clear" w:color="000000" w:fill="ffffff"/>
    </w:pPr>
    <w:rPr>
      <w:sz w:val="20"/>
      <w:szCs w:val="20"/>
    </w:rPr>
  </w:style>
  <w:style w:type="paragraph" w:styleId="953" w:customStyle="1">
    <w:name w:val="xl436"/>
    <w:basedOn w:val="880"/>
    <w:pPr>
      <w:spacing w:before="100" w:beforeAutospacing="1" w:after="100" w:afterAutospacing="1"/>
      <w:shd w:val="clear" w:color="000000" w:fill="f79646"/>
    </w:pPr>
  </w:style>
  <w:style w:type="paragraph" w:styleId="954" w:customStyle="1">
    <w:name w:val="xl437"/>
    <w:basedOn w:val="880"/>
    <w:pPr>
      <w:spacing w:before="100" w:beforeAutospacing="1" w:after="100" w:afterAutospacing="1"/>
      <w:shd w:val="clear" w:color="000000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5" w:customStyle="1">
    <w:name w:val="xl438"/>
    <w:basedOn w:val="880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6" w:customStyle="1">
    <w:name w:val="xl439"/>
    <w:basedOn w:val="88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7" w:customStyle="1">
    <w:name w:val="xl440"/>
    <w:basedOn w:val="880"/>
    <w:pPr>
      <w:spacing w:before="100" w:beforeAutospacing="1" w:after="100" w:afterAutospacing="1"/>
      <w:shd w:val="clear" w:color="000000" w:fill="ffffcc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8" w:customStyle="1">
    <w:name w:val="xl441"/>
    <w:basedOn w:val="88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9" w:customStyle="1">
    <w:name w:val="xl442"/>
    <w:basedOn w:val="88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0" w:customStyle="1">
    <w:name w:val="xl443"/>
    <w:basedOn w:val="88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1" w:customStyle="1">
    <w:name w:val="xl444"/>
    <w:basedOn w:val="88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2" w:customStyle="1">
    <w:name w:val="xl445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3" w:customStyle="1">
    <w:name w:val="xl446"/>
    <w:basedOn w:val="880"/>
    <w:pPr>
      <w:spacing w:before="100" w:beforeAutospacing="1" w:after="100" w:afterAutospacing="1"/>
    </w:pPr>
    <w:rPr>
      <w:sz w:val="20"/>
      <w:szCs w:val="20"/>
    </w:rPr>
  </w:style>
  <w:style w:type="paragraph" w:styleId="964" w:customStyle="1">
    <w:name w:val="xl447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5" w:customStyle="1">
    <w:name w:val="xl448"/>
    <w:basedOn w:val="88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6" w:customStyle="1">
    <w:name w:val="xl449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67" w:customStyle="1">
    <w:name w:val="xl450"/>
    <w:basedOn w:val="880"/>
    <w:pPr>
      <w:jc w:val="center"/>
      <w:spacing w:before="100" w:beforeAutospacing="1" w:after="100" w:afterAutospacing="1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8" w:customStyle="1">
    <w:name w:val="xl451"/>
    <w:basedOn w:val="880"/>
    <w:pPr>
      <w:jc w:val="center"/>
      <w:spacing w:before="100" w:beforeAutospacing="1" w:after="100" w:afterAutospacing="1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9" w:customStyle="1">
    <w:name w:val="xl452"/>
    <w:basedOn w:val="880"/>
    <w:pPr>
      <w:jc w:val="right"/>
      <w:spacing w:before="100" w:beforeAutospacing="1" w:after="100" w:afterAutospacing="1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0" w:customStyle="1">
    <w:name w:val="xl453"/>
    <w:basedOn w:val="880"/>
    <w:pPr>
      <w:spacing w:before="100" w:beforeAutospacing="1" w:after="100" w:afterAutospacing="1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1" w:customStyle="1">
    <w:name w:val="xl454"/>
    <w:basedOn w:val="880"/>
    <w:pPr>
      <w:jc w:val="right"/>
      <w:spacing w:before="100" w:beforeAutospacing="1" w:after="100" w:afterAutospacing="1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2" w:customStyle="1">
    <w:name w:val="xl455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3" w:customStyle="1">
    <w:name w:val="xl456"/>
    <w:basedOn w:val="880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974" w:customStyle="1">
    <w:name w:val="xl457"/>
    <w:basedOn w:val="880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sz w:val="20"/>
      <w:szCs w:val="20"/>
    </w:rPr>
  </w:style>
  <w:style w:type="paragraph" w:styleId="975" w:customStyle="1">
    <w:name w:val="xl458"/>
    <w:basedOn w:val="88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976" w:customStyle="1">
    <w:name w:val="xl459"/>
    <w:basedOn w:val="880"/>
    <w:pPr>
      <w:jc w:val="center"/>
      <w:spacing w:before="100" w:beforeAutospacing="1" w:after="100" w:afterAutospacing="1"/>
      <w:shd w:val="clear" w:color="000000" w:fill="ffffcc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7" w:customStyle="1">
    <w:name w:val="xl460"/>
    <w:basedOn w:val="880"/>
    <w:pPr>
      <w:jc w:val="center"/>
      <w:spacing w:before="100" w:beforeAutospacing="1" w:after="100" w:afterAutospacing="1"/>
      <w:shd w:val="clear" w:color="000000" w:fill="ffffcc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8" w:customStyle="1">
    <w:name w:val="xl461"/>
    <w:basedOn w:val="880"/>
    <w:pPr>
      <w:jc w:val="right"/>
      <w:spacing w:before="100" w:beforeAutospacing="1" w:after="100" w:afterAutospacing="1"/>
      <w:shd w:val="clear" w:color="000000" w:fill="ffffcc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9" w:customStyle="1">
    <w:name w:val="xl462"/>
    <w:basedOn w:val="88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80" w:customStyle="1">
    <w:name w:val="xl463"/>
    <w:basedOn w:val="880"/>
    <w:pPr>
      <w:jc w:val="right"/>
      <w:spacing w:before="100" w:beforeAutospacing="1" w:after="100" w:afterAutospacing="1"/>
      <w:shd w:val="clear" w:color="000000" w:fill="ffff00"/>
    </w:pPr>
  </w:style>
  <w:style w:type="paragraph" w:styleId="981" w:customStyle="1">
    <w:name w:val="xl464"/>
    <w:basedOn w:val="880"/>
    <w:pPr>
      <w:jc w:val="center"/>
      <w:spacing w:before="100" w:beforeAutospacing="1" w:after="100" w:afterAutospacing="1"/>
      <w:shd w:val="clear" w:color="000000" w:fill="ffff00"/>
    </w:pPr>
  </w:style>
  <w:style w:type="paragraph" w:styleId="982" w:customStyle="1">
    <w:name w:val="xl465"/>
    <w:basedOn w:val="880"/>
    <w:pPr>
      <w:spacing w:before="100" w:beforeAutospacing="1" w:after="100" w:afterAutospacing="1"/>
      <w:shd w:val="clear" w:color="000000" w:fill="ffff00"/>
    </w:pPr>
  </w:style>
  <w:style w:type="paragraph" w:styleId="983" w:customStyle="1">
    <w:name w:val="xl466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84" w:customStyle="1">
    <w:name w:val="xl467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5" w:customStyle="1">
    <w:name w:val="xl468"/>
    <w:basedOn w:val="880"/>
    <w:pPr>
      <w:jc w:val="center"/>
      <w:spacing w:before="100" w:beforeAutospacing="1" w:after="100" w:afterAutospacing="1"/>
    </w:pPr>
  </w:style>
  <w:style w:type="paragraph" w:styleId="986" w:customStyle="1">
    <w:name w:val="xl469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7" w:customStyle="1">
    <w:name w:val="xl470"/>
    <w:basedOn w:val="880"/>
    <w:pPr>
      <w:spacing w:before="100" w:beforeAutospacing="1" w:after="100" w:afterAutospacing="1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8" w:customStyle="1">
    <w:name w:val="xl471"/>
    <w:basedOn w:val="880"/>
    <w:pPr>
      <w:spacing w:before="100" w:beforeAutospacing="1" w:after="100" w:afterAutospacing="1"/>
      <w:shd w:val="clear" w:color="000000" w:fill="00b0f0"/>
    </w:pPr>
  </w:style>
  <w:style w:type="paragraph" w:styleId="989" w:customStyle="1">
    <w:name w:val="xl472"/>
    <w:basedOn w:val="880"/>
    <w:pPr>
      <w:spacing w:before="100" w:beforeAutospacing="1" w:after="100" w:afterAutospacing="1"/>
    </w:pPr>
    <w:rPr>
      <w:color w:val="ff0000"/>
    </w:rPr>
  </w:style>
  <w:style w:type="paragraph" w:styleId="990" w:customStyle="1">
    <w:name w:val="xl473"/>
    <w:basedOn w:val="88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991" w:customStyle="1">
    <w:name w:val="xl474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2" w:customStyle="1">
    <w:name w:val="xl475"/>
    <w:basedOn w:val="880"/>
    <w:pPr>
      <w:spacing w:before="100" w:beforeAutospacing="1" w:after="100" w:afterAutospacing="1"/>
    </w:pPr>
    <w:rPr>
      <w:color w:val="7030a0"/>
    </w:rPr>
  </w:style>
  <w:style w:type="paragraph" w:styleId="993" w:customStyle="1">
    <w:name w:val="xl476"/>
    <w:basedOn w:val="880"/>
    <w:pPr>
      <w:spacing w:before="100" w:beforeAutospacing="1" w:after="100" w:afterAutospacing="1"/>
    </w:pPr>
    <w:rPr>
      <w:color w:val="0070c0"/>
    </w:rPr>
  </w:style>
  <w:style w:type="paragraph" w:styleId="994" w:customStyle="1">
    <w:name w:val="xl477"/>
    <w:basedOn w:val="880"/>
    <w:pPr>
      <w:jc w:val="center"/>
      <w:spacing w:before="100" w:beforeAutospacing="1" w:after="100" w:afterAutospacing="1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5" w:customStyle="1">
    <w:name w:val="xl478"/>
    <w:basedOn w:val="880"/>
    <w:pPr>
      <w:spacing w:before="100" w:beforeAutospacing="1" w:after="100" w:afterAutospacing="1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6" w:customStyle="1">
    <w:name w:val="xl479"/>
    <w:basedOn w:val="88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7" w:customStyle="1">
    <w:name w:val="xl480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8" w:customStyle="1">
    <w:name w:val="xl481"/>
    <w:basedOn w:val="88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9" w:customStyle="1">
    <w:name w:val="xl482"/>
    <w:basedOn w:val="880"/>
    <w:pPr>
      <w:spacing w:before="100" w:beforeAutospacing="1" w:after="100" w:afterAutospacing="1"/>
      <w:shd w:val="clear" w:color="000000" w:fill="ffffcc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0" w:customStyle="1">
    <w:name w:val="xl483"/>
    <w:basedOn w:val="880"/>
    <w:pPr>
      <w:jc w:val="center"/>
      <w:spacing w:before="100" w:beforeAutospacing="1" w:after="100" w:afterAutospacing="1"/>
      <w:shd w:val="clear" w:color="000000" w:fill="ffffcc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1" w:customStyle="1">
    <w:name w:val="xl484"/>
    <w:basedOn w:val="880"/>
    <w:pPr>
      <w:jc w:val="center"/>
      <w:spacing w:before="100" w:beforeAutospacing="1" w:after="100" w:afterAutospacing="1"/>
      <w:shd w:val="clear" w:color="000000" w:fill="ffffcc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2" w:customStyle="1">
    <w:name w:val="xl485"/>
    <w:basedOn w:val="880"/>
    <w:pPr>
      <w:jc w:val="right"/>
      <w:spacing w:before="100" w:beforeAutospacing="1" w:after="100" w:afterAutospacing="1"/>
      <w:shd w:val="clear" w:color="000000" w:fill="ffffcc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3" w:customStyle="1">
    <w:name w:val="xl486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4" w:customStyle="1">
    <w:name w:val="xl487"/>
    <w:basedOn w:val="880"/>
    <w:pPr>
      <w:spacing w:before="100" w:beforeAutospacing="1" w:after="100" w:afterAutospacing="1"/>
      <w:shd w:val="clear" w:color="000000" w:fill="b6dde8"/>
    </w:pPr>
  </w:style>
  <w:style w:type="paragraph" w:styleId="1005" w:customStyle="1">
    <w:name w:val="xl488"/>
    <w:basedOn w:val="880"/>
    <w:pPr>
      <w:spacing w:before="100" w:beforeAutospacing="1" w:after="100" w:afterAutospacing="1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6" w:customStyle="1">
    <w:name w:val="xl489"/>
    <w:basedOn w:val="880"/>
    <w:pPr>
      <w:jc w:val="center"/>
      <w:spacing w:before="100" w:beforeAutospacing="1" w:after="100" w:afterAutospacing="1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7" w:customStyle="1">
    <w:name w:val="xl490"/>
    <w:basedOn w:val="880"/>
    <w:pPr>
      <w:jc w:val="right"/>
      <w:spacing w:before="100" w:beforeAutospacing="1" w:after="100" w:afterAutospacing="1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8" w:customStyle="1">
    <w:name w:val="xl491"/>
    <w:basedOn w:val="880"/>
    <w:pPr>
      <w:jc w:val="right"/>
      <w:spacing w:before="100" w:beforeAutospacing="1" w:after="100" w:afterAutospacing="1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9" w:customStyle="1">
    <w:name w:val="xl492"/>
    <w:basedOn w:val="880"/>
    <w:pPr>
      <w:jc w:val="right"/>
      <w:spacing w:before="100" w:beforeAutospacing="1" w:after="100" w:afterAutospacing="1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0" w:customStyle="1">
    <w:name w:val="xl493"/>
    <w:basedOn w:val="880"/>
    <w:pPr>
      <w:jc w:val="center"/>
      <w:spacing w:before="100" w:beforeAutospacing="1" w:after="100" w:afterAutospacing="1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1" w:customStyle="1">
    <w:name w:val="xl494"/>
    <w:basedOn w:val="880"/>
    <w:pPr>
      <w:spacing w:before="100" w:beforeAutospacing="1" w:after="100" w:afterAutospacing="1"/>
      <w:shd w:val="clear" w:color="000000" w:fill="afefea"/>
    </w:pPr>
  </w:style>
  <w:style w:type="paragraph" w:styleId="1012" w:customStyle="1">
    <w:name w:val="xl495"/>
    <w:basedOn w:val="880"/>
    <w:pPr>
      <w:jc w:val="center"/>
      <w:spacing w:before="100" w:beforeAutospacing="1" w:after="100" w:afterAutospacing="1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3" w:customStyle="1">
    <w:name w:val="xl496"/>
    <w:basedOn w:val="880"/>
    <w:pPr>
      <w:spacing w:before="100" w:beforeAutospacing="1" w:after="100" w:afterAutospacing="1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4" w:customStyle="1">
    <w:name w:val="xl497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1015" w:customStyle="1">
    <w:name w:val="xl498"/>
    <w:basedOn w:val="880"/>
    <w:pPr>
      <w:spacing w:before="100" w:beforeAutospacing="1" w:after="100" w:afterAutospacing="1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6" w:customStyle="1">
    <w:name w:val="xl499"/>
    <w:basedOn w:val="880"/>
    <w:pPr>
      <w:spacing w:before="100" w:beforeAutospacing="1" w:after="100" w:afterAutospacing="1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7" w:customStyle="1">
    <w:name w:val="xl500"/>
    <w:basedOn w:val="880"/>
    <w:pPr>
      <w:spacing w:before="100" w:beforeAutospacing="1" w:after="100" w:afterAutospacing="1"/>
      <w:shd w:val="clear" w:color="000000" w:fill="afefea"/>
    </w:pPr>
  </w:style>
  <w:style w:type="paragraph" w:styleId="1018" w:customStyle="1">
    <w:name w:val="xl501"/>
    <w:basedOn w:val="880"/>
    <w:pPr>
      <w:spacing w:before="100" w:beforeAutospacing="1" w:after="100" w:afterAutospacing="1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9" w:customStyle="1">
    <w:name w:val="xl502"/>
    <w:basedOn w:val="880"/>
    <w:pPr>
      <w:spacing w:before="100" w:beforeAutospacing="1" w:after="100" w:afterAutospacing="1"/>
      <w:shd w:val="clear" w:color="000000" w:fill="00b0f0"/>
    </w:pPr>
  </w:style>
  <w:style w:type="paragraph" w:styleId="1020" w:customStyle="1">
    <w:name w:val="xl503"/>
    <w:basedOn w:val="880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1" w:customStyle="1">
    <w:name w:val="xl504"/>
    <w:basedOn w:val="880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1022" w:customStyle="1">
    <w:name w:val="xl505"/>
    <w:basedOn w:val="88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1023" w:customStyle="1">
    <w:name w:val="xl506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1024" w:customStyle="1">
    <w:name w:val="xl507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1025" w:customStyle="1">
    <w:name w:val="xl508"/>
    <w:basedOn w:val="88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  <w:sz w:val="20"/>
      <w:szCs w:val="20"/>
    </w:rPr>
  </w:style>
  <w:style w:type="paragraph" w:styleId="1026" w:customStyle="1">
    <w:name w:val="xl509"/>
    <w:basedOn w:val="880"/>
    <w:pPr>
      <w:jc w:val="right"/>
      <w:spacing w:before="100" w:beforeAutospacing="1" w:after="100" w:afterAutospacing="1"/>
      <w:shd w:val="clear" w:color="000000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7" w:customStyle="1">
    <w:name w:val="xl510"/>
    <w:basedOn w:val="880"/>
    <w:pPr>
      <w:jc w:val="right"/>
      <w:spacing w:before="100" w:beforeAutospacing="1" w:after="100" w:afterAutospacing="1"/>
      <w:shd w:val="clear" w:color="000000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8" w:customStyle="1">
    <w:name w:val="xl511"/>
    <w:basedOn w:val="88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9" w:customStyle="1">
    <w:name w:val="xl512"/>
    <w:basedOn w:val="88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30" w:customStyle="1">
    <w:name w:val="xl513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1" w:customStyle="1">
    <w:name w:val="xl514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2" w:customStyle="1">
    <w:name w:val="xl515"/>
    <w:basedOn w:val="88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3" w:customStyle="1">
    <w:name w:val="xl516"/>
    <w:basedOn w:val="880"/>
    <w:pPr>
      <w:jc w:val="right"/>
      <w:spacing w:before="100" w:beforeAutospacing="1" w:after="100" w:afterAutospacing="1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4" w:customStyle="1">
    <w:name w:val="xl517"/>
    <w:basedOn w:val="880"/>
    <w:pPr>
      <w:jc w:val="right"/>
      <w:spacing w:before="100" w:beforeAutospacing="1" w:after="100" w:afterAutospacing="1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5" w:customStyle="1">
    <w:name w:val="xl518"/>
    <w:basedOn w:val="880"/>
    <w:pPr>
      <w:jc w:val="right"/>
      <w:spacing w:before="100" w:beforeAutospacing="1" w:after="100" w:afterAutospacing="1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6" w:customStyle="1">
    <w:name w:val="xl519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37" w:customStyle="1">
    <w:name w:val="xl520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8" w:customStyle="1">
    <w:name w:val="xl521"/>
    <w:basedOn w:val="880"/>
    <w:pPr>
      <w:spacing w:before="100" w:beforeAutospacing="1" w:after="100" w:afterAutospacing="1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9" w:customStyle="1">
    <w:name w:val="xl522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0" w:customStyle="1">
    <w:name w:val="xl523"/>
    <w:basedOn w:val="880"/>
    <w:pPr>
      <w:jc w:val="right"/>
      <w:spacing w:before="100" w:beforeAutospacing="1" w:after="100" w:afterAutospacing="1"/>
      <w:shd w:val="clear" w:color="000000" w:fill="ffffcc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1" w:customStyle="1">
    <w:name w:val="xl524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2" w:customStyle="1">
    <w:name w:val="xl525"/>
    <w:basedOn w:val="880"/>
    <w:pPr>
      <w:jc w:val="right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3" w:customStyle="1">
    <w:name w:val="xl526"/>
    <w:basedOn w:val="88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4" w:customStyle="1">
    <w:name w:val="xl527"/>
    <w:basedOn w:val="880"/>
    <w:pPr>
      <w:jc w:val="right"/>
      <w:spacing w:before="100" w:beforeAutospacing="1" w:after="100" w:afterAutospacing="1"/>
      <w:shd w:val="clear" w:color="000000" w:fill="ffffcc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5" w:customStyle="1">
    <w:name w:val="xl528"/>
    <w:basedOn w:val="880"/>
    <w:pPr>
      <w:jc w:val="right"/>
      <w:spacing w:before="100" w:beforeAutospacing="1" w:after="100" w:afterAutospacing="1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6" w:customStyle="1">
    <w:name w:val="xl529"/>
    <w:basedOn w:val="88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7" w:customStyle="1">
    <w:name w:val="xl530"/>
    <w:basedOn w:val="880"/>
    <w:pPr>
      <w:jc w:val="right"/>
      <w:spacing w:before="100" w:beforeAutospacing="1" w:after="100" w:afterAutospacing="1"/>
      <w:shd w:val="clear" w:color="000000" w:fill="afefe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8">
    <w:name w:val="Balloon Text"/>
    <w:basedOn w:val="880"/>
    <w:link w:val="1049"/>
    <w:uiPriority w:val="99"/>
    <w:semiHidden/>
    <w:unhideWhenUsed/>
    <w:rPr>
      <w:rFonts w:ascii="Tahoma" w:hAnsi="Tahoma" w:cs="Tahoma"/>
      <w:sz w:val="16"/>
      <w:szCs w:val="16"/>
    </w:rPr>
  </w:style>
  <w:style w:type="character" w:styleId="1049" w:customStyle="1">
    <w:name w:val="Текст выноски Знак"/>
    <w:basedOn w:val="881"/>
    <w:link w:val="104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050" w:customStyle="1">
    <w:name w:val="ConsPlusNormal"/>
    <w:pPr>
      <w:spacing w:after="0" w:line="240" w:lineRule="auto"/>
    </w:pPr>
    <w:rPr>
      <w:rFonts w:ascii="Arial" w:hAnsi="Arial" w:eastAsia="Calibri" w:cs="Arial"/>
      <w:sz w:val="20"/>
      <w:szCs w:val="20"/>
    </w:rPr>
  </w:style>
  <w:style w:type="paragraph" w:styleId="1051" w:customStyle="1">
    <w:name w:val="Style3"/>
    <w:basedOn w:val="880"/>
    <w:uiPriority w:val="99"/>
    <w:pPr>
      <w:ind w:firstLine="845"/>
      <w:spacing w:line="326" w:lineRule="exact"/>
      <w:widowControl w:val="off"/>
    </w:pPr>
  </w:style>
  <w:style w:type="paragraph" w:styleId="1052" w:customStyle="1">
    <w:name w:val="Style4"/>
    <w:basedOn w:val="880"/>
    <w:uiPriority w:val="99"/>
    <w:pPr>
      <w:widowControl w:val="off"/>
    </w:pPr>
  </w:style>
  <w:style w:type="paragraph" w:styleId="1053" w:customStyle="1">
    <w:name w:val="Style6"/>
    <w:basedOn w:val="880"/>
    <w:uiPriority w:val="99"/>
    <w:pPr>
      <w:spacing w:line="241" w:lineRule="exact"/>
      <w:widowControl w:val="off"/>
    </w:pPr>
  </w:style>
  <w:style w:type="character" w:styleId="1054" w:customStyle="1">
    <w:name w:val="Font Style11"/>
    <w:uiPriority w:val="99"/>
    <w:rPr>
      <w:rFonts w:hint="default" w:ascii="Times New Roman" w:hAnsi="Times New Roman" w:cs="Times New Roman"/>
      <w:sz w:val="26"/>
      <w:szCs w:val="26"/>
    </w:rPr>
  </w:style>
  <w:style w:type="paragraph" w:styleId="1055">
    <w:name w:val="Body Text 2"/>
    <w:basedOn w:val="880"/>
    <w:link w:val="1056"/>
    <w:uiPriority w:val="99"/>
    <w:semiHidden/>
    <w:unhideWhenUsed/>
    <w:pPr>
      <w:spacing w:after="120" w:line="480" w:lineRule="auto"/>
      <w:widowControl w:val="off"/>
    </w:pPr>
  </w:style>
  <w:style w:type="character" w:styleId="1056" w:customStyle="1">
    <w:name w:val="Основной текст 2 Знак"/>
    <w:basedOn w:val="881"/>
    <w:link w:val="105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7">
    <w:name w:val="Normal (Web)"/>
    <w:basedOn w:val="880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B6DCA-8349-48C5-AACA-14545DAA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S.Karaeva</dc:creator>
  <cp:lastModifiedBy>User</cp:lastModifiedBy>
  <cp:revision>14</cp:revision>
  <dcterms:created xsi:type="dcterms:W3CDTF">2026-02-25T06:29:00Z</dcterms:created>
  <dcterms:modified xsi:type="dcterms:W3CDTF">2026-05-27T09:07:32Z</dcterms:modified>
</cp:coreProperties>
</file>