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857"/>
        <w:ind w:left="5103" w:firstLine="709"/>
        <w:jc w:val="left"/>
        <w:spacing w:line="240" w:lineRule="exact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ПРОЕКТ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57"/>
        <w:ind w:left="5103" w:firstLine="709"/>
        <w:jc w:val="left"/>
        <w:spacing w:line="240" w:lineRule="exact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             депутата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57"/>
        <w:ind w:left="5103" w:firstLine="0"/>
        <w:jc w:val="left"/>
        <w:spacing w:line="240" w:lineRule="exact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  Ставропольской 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городской Думы</w:t>
      </w:r>
      <w:r/>
    </w:p>
    <w:p>
      <w:pPr>
        <w:pStyle w:val="857"/>
        <w:ind w:left="5103" w:firstLine="0"/>
        <w:jc w:val="left"/>
        <w:spacing w:line="240" w:lineRule="exact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t xml:space="preserve">                    Г.И.Тищенко</w:t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57"/>
        <w:ind w:left="5103" w:firstLine="709"/>
        <w:jc w:val="center"/>
        <w:spacing w:line="240" w:lineRule="exact"/>
        <w:widowControl/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  <w:suppressLineNumbers w:val="0"/>
      </w:pPr>
      <w:r>
        <w:rPr>
          <w:rFonts w:ascii="Times New Roman" w:hAnsi="Times New Roman" w:cs="Times New Roman"/>
          <w:b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  <w:r>
        <w:rPr>
          <w:rFonts w:ascii="Times New Roman" w:hAnsi="Times New Roman" w:cs="Times New Roman"/>
          <w:b w:val="0"/>
          <w:bCs w:val="0"/>
          <w:sz w:val="28"/>
          <w:szCs w:val="28"/>
          <w:highlight w:val="none"/>
        </w:rPr>
      </w:r>
    </w:p>
    <w:p>
      <w:pPr>
        <w:pStyle w:val="852"/>
        <w:ind w:firstLine="709"/>
        <w:spacing w:after="0" w:line="240" w:lineRule="auto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ar-SA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852"/>
        <w:ind w:firstLine="709"/>
        <w:spacing w:after="0" w:line="240" w:lineRule="auto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ar-SA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852"/>
        <w:ind w:firstLine="709"/>
        <w:spacing w:after="0" w:line="240" w:lineRule="auto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ar-SA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852"/>
        <w:ind w:firstLine="709"/>
        <w:spacing w:after="0" w:line="240" w:lineRule="auto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ar-SA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852"/>
        <w:ind w:firstLine="709"/>
        <w:spacing w:after="0" w:line="240" w:lineRule="auto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ar-SA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852"/>
        <w:ind w:firstLine="709"/>
        <w:jc w:val="center"/>
        <w:spacing w:after="0" w:line="240" w:lineRule="auto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ar-SA"/>
        </w:rPr>
        <w:t xml:space="preserve">СТАВРОПОЛЬСКАЯ ГОРОДСКАЯ ДУМА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852"/>
        <w:ind w:firstLine="709"/>
        <w:jc w:val="center"/>
        <w:spacing w:after="0" w:line="240" w:lineRule="auto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ar-SA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852"/>
        <w:ind w:firstLine="709"/>
        <w:jc w:val="center"/>
        <w:spacing w:after="0" w:line="240" w:lineRule="auto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ar-SA"/>
        </w:rPr>
        <w:t xml:space="preserve">Р Е Ш Е Н И Е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856"/>
        <w:ind w:firstLine="709"/>
        <w:jc w:val="both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6"/>
        <w:ind w:firstLine="0"/>
        <w:jc w:val="both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___________ 20</w:t>
      </w:r>
      <w:r>
        <w:rPr>
          <w:rFonts w:ascii="Times New Roman" w:hAnsi="Times New Roman"/>
          <w:sz w:val="28"/>
          <w:szCs w:val="28"/>
        </w:rPr>
        <w:t xml:space="preserve">26</w:t>
      </w:r>
      <w:r>
        <w:rPr>
          <w:rFonts w:ascii="Times New Roman" w:hAnsi="Times New Roman"/>
          <w:sz w:val="28"/>
          <w:szCs w:val="28"/>
        </w:rPr>
        <w:t xml:space="preserve"> г.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    г. Ставрополь                                           № ___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7"/>
        <w:ind w:firstLine="709"/>
        <w:jc w:val="both"/>
        <w:spacing w:line="240" w:lineRule="exact"/>
        <w:widowControl/>
        <w:rPr>
          <w:rFonts w:ascii="Times New Roman" w:hAnsi="Times New Roman" w:cs="Times New Roman"/>
          <w:b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57"/>
        <w:ind w:firstLine="709"/>
        <w:jc w:val="both"/>
        <w:spacing w:line="240" w:lineRule="exact"/>
        <w:widowControl/>
        <w:rPr>
          <w:rFonts w:ascii="Times New Roman" w:hAnsi="Times New Roman" w:cs="Times New Roman"/>
          <w:b w:val="0"/>
          <w:sz w:val="28"/>
          <w:szCs w:val="28"/>
        </w:rPr>
        <w:suppressLineNumbers w:val="0"/>
      </w:pP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  <w:r>
        <w:rPr>
          <w:rFonts w:ascii="Times New Roman" w:hAnsi="Times New Roman" w:cs="Times New Roman"/>
          <w:b w:val="0"/>
          <w:sz w:val="28"/>
          <w:szCs w:val="28"/>
        </w:rPr>
      </w:r>
    </w:p>
    <w:p>
      <w:pPr>
        <w:pStyle w:val="852"/>
        <w:ind w:firstLine="0"/>
        <w:jc w:val="both"/>
        <w:spacing w:after="0" w:line="240" w:lineRule="exact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О внесении изменений 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решение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Ставропольской городской Думы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         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«О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б утверждении Порядка установления льготной арендной платы и ее размеров при передаче юридическим и физиче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ским лицам на праве аренды неиспользуемых объектов культурного наследия (памятников истории и культуры), находящихся в неудовлетворительном состоянии, являющихся муниципальной собственностью муниципального образования города Ставрополя Ставропольского края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852"/>
        <w:ind w:firstLine="709"/>
        <w:jc w:val="both"/>
        <w:spacing w:after="0" w:line="240" w:lineRule="exact"/>
        <w:suppressLineNumbers w:val="0"/>
      </w:pPr>
      <w:r/>
      <w:r/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В </w:t>
      </w:r>
      <w:r>
        <w:rPr>
          <w:rFonts w:ascii="Times New Roman" w:hAnsi="Times New Roman"/>
          <w:sz w:val="28"/>
          <w:szCs w:val="28"/>
        </w:rPr>
        <w:t xml:space="preserve"> соответствии с федеральными законами от 20 марта 2025 года  </w:t>
        <w:br/>
      </w:r>
      <w:r>
        <w:rPr>
          <w:rFonts w:ascii="Times New Roman" w:hAnsi="Times New Roman"/>
          <w:sz w:val="28"/>
          <w:szCs w:val="28"/>
        </w:rPr>
        <w:t xml:space="preserve">№ 33-ФЗ «Об общих принципах организации местного самоуправления в единой системе публичной власти» и от 25 июня  2002 года № 73-ФЗ         «Об объектах культурного наследия (памятников истории и культуры) народов Российской Федерации»,</w:t>
      </w:r>
      <w:r>
        <w:rPr>
          <w:rFonts w:ascii="Times New Roman" w:hAnsi="Times New Roman"/>
          <w:sz w:val="28"/>
          <w:szCs w:val="28"/>
        </w:rPr>
        <w:t xml:space="preserve"> Уставом муниципального образования городского округа города Ставрополя Ставропольского края</w:t>
      </w:r>
      <w:r>
        <w:rPr>
          <w:rFonts w:ascii="Times New Roman" w:hAnsi="Times New Roman"/>
          <w:sz w:val="28"/>
          <w:szCs w:val="28"/>
        </w:rPr>
        <w:t xml:space="preserve"> Ставропольская городская Дума</w:t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2"/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  <w:t xml:space="preserve">РЕШИЛА: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</w:rPr>
        <w:suppressLineNumbers w:val="0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pStyle w:val="852"/>
        <w:ind w:left="0" w:right="0"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1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 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Внести в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решение Ставропольской городской Дум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ы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от 30 января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  2019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г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№ 309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«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Об утверждении Порядка установления льготной арендной платы и ее размеров при передаче юридическим и физиче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ским лицам на праве аренды неиспользуемых объектов культурного наследия (памятников истории и культуры), находящихся в неудовлетворительном состоянии, являющихся муниципальной собственностью муниципального образования города Ставрополя Ставропольского края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(далее соответственно – решение, Порядок)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следующие изменения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: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left="0" w:right="0" w:firstLine="0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  <w:highlight w:val="none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highlight w:val="none"/>
        </w:rPr>
        <w:t xml:space="preserve">          1)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преамбулу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решения изложить в следующей редакции:</w:t>
      </w:r>
      <w:r>
        <w:rPr>
          <w:rFonts w:ascii="Times New Roman" w:hAnsi="Times New Roman" w:eastAsia="Times New Roman"/>
          <w:sz w:val="28"/>
          <w:szCs w:val="28"/>
          <w:highlight w:val="none"/>
        </w:rPr>
      </w:r>
      <w:r>
        <w:rPr>
          <w:rFonts w:ascii="Times New Roman" w:hAnsi="Times New Roman" w:eastAsia="Times New Roman"/>
          <w:sz w:val="28"/>
          <w:szCs w:val="28"/>
          <w:highlight w:val="none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«</w:t>
      </w:r>
      <w:r>
        <w:rPr>
          <w:rFonts w:ascii="Times New Roman" w:hAnsi="Times New Roman"/>
          <w:sz w:val="28"/>
          <w:szCs w:val="28"/>
        </w:rPr>
        <w:t xml:space="preserve">В соответствии с федеральными законами от 20 марта 2025 года  </w:t>
        <w:br/>
      </w:r>
      <w:r>
        <w:rPr>
          <w:rFonts w:ascii="Times New Roman" w:hAnsi="Times New Roman"/>
          <w:sz w:val="28"/>
          <w:szCs w:val="28"/>
        </w:rPr>
        <w:t xml:space="preserve">№ 33-ФЗ «Об общих принципах организации местного самоуправления в единой системе публичной власти» и от 25 июня 2002 года № 73-ФЗ          «Об объектах культурного наследия (памятников истории и культуры) народов Российской Федерации»,</w:t>
      </w:r>
      <w:r>
        <w:rPr>
          <w:rFonts w:ascii="Times New Roman" w:hAnsi="Times New Roman"/>
          <w:sz w:val="28"/>
          <w:szCs w:val="28"/>
        </w:rPr>
        <w:t xml:space="preserve"> Уставом муниципального образования городского округа города Ставрополя Ставропольского края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Ставропольская городская Дума решила:»;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/>
          <w:sz w:val="28"/>
          <w:szCs w:val="28"/>
          <w:lang w:eastAsia="ru-RU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 2) пункт 2 Порядка и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зложить в следующей редакции:</w:t>
      </w: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  <w:lang w:eastAsia="ru-RU"/>
        </w:rPr>
      </w:r>
    </w:p>
    <w:p>
      <w:pPr>
        <w:ind w:left="0" w:right="0" w:firstLine="540"/>
        <w:jc w:val="both"/>
        <w:spacing w:before="0" w:after="0" w:line="288" w:lineRule="atLeast"/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 «2</w:t>
      </w:r>
      <w:r>
        <w:rPr>
          <w:rFonts w:ascii="Times New Roman" w:hAnsi="Times New Roman" w:eastAsia="Times New Roman" w:cs="Times New Roman"/>
          <w:sz w:val="28"/>
          <w:szCs w:val="28"/>
          <w:highlight w:val="none"/>
        </w:rPr>
        <w:t xml:space="preserve">.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Настоящий Порядок применяется в отношении объектов культурного наследия,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включенных в единый государственный реестр объектов культурного наследия (памятников истории и культуры) народов Российской Федерации, которые соответствуют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критериям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отнесения таких  объектов к находящимся в неудовлетворительном состоянии, 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установленным статьей 50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vertAlign w:val="superscript"/>
        </w:rPr>
        <w:t xml:space="preserve">1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Федерального закона от </w:t>
      </w:r>
      <w:r>
        <w:rPr>
          <w:rFonts w:ascii="Times New Roman" w:hAnsi="Times New Roman"/>
          <w:sz w:val="28"/>
          <w:szCs w:val="28"/>
        </w:rPr>
        <w:t xml:space="preserve">25 июня 2002 года № 73-ФЗ                 «Об объектах культурного наследия (памятников истории и культуры) народов Российской Федерации»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, и в отношении которых органом исполнительной власти Ставропольского края, уполномоченным в области сохранения, использования, популяризации и государственной охраны об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ъектов культурного наследия, принято решение о признании их объектами, находящимися в неудовлетворительном состоянии.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</w:p>
    <w:p>
      <w:pPr>
        <w:ind w:left="0" w:right="0" w:firstLine="540"/>
        <w:jc w:val="both"/>
        <w:spacing w:before="0" w:after="0" w:line="288" w:lineRule="atLeast"/>
        <w:rPr>
          <w:highlight w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color w:val="000000"/>
          <w:sz w:val="28"/>
          <w:szCs w:val="28"/>
          <w:highlight w:val="none"/>
        </w:rPr>
      </w:r>
      <w:r>
        <w:rPr>
          <w:highlight w:val="none"/>
        </w:rPr>
      </w:r>
      <w:r>
        <w:rPr>
          <w:highlight w:val="none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2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. Настоящее решение вступает в силу на следующий день после дня его официального опубликования в газете «Вечерний Ставрополь</w:t>
      </w:r>
      <w:r>
        <w:rPr>
          <w:rFonts w:ascii="Times New Roman" w:hAnsi="Times New Roman" w:eastAsia="Times New Roman"/>
          <w:sz w:val="28"/>
          <w:szCs w:val="28"/>
          <w:lang w:eastAsia="ru-RU"/>
        </w:rPr>
        <w:t xml:space="preserve">».</w:t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852"/>
        <w:ind w:firstLine="709"/>
        <w:jc w:val="both"/>
        <w:spacing w:after="0" w:line="240" w:lineRule="auto"/>
        <w:rPr>
          <w:rFonts w:ascii="Times New Roman" w:hAnsi="Times New Roman" w:eastAsia="Times New Roman"/>
          <w:sz w:val="28"/>
          <w:szCs w:val="28"/>
        </w:rPr>
        <w:suppressLineNumbers w:val="0"/>
      </w:pPr>
      <w:r>
        <w:rPr>
          <w:rFonts w:ascii="Times New Roman" w:hAnsi="Times New Roman" w:eastAsia="Times New Roman"/>
          <w:sz w:val="28"/>
          <w:szCs w:val="28"/>
          <w:lang w:eastAsia="ru-RU"/>
        </w:rPr>
      </w:r>
      <w:r>
        <w:rPr>
          <w:rFonts w:ascii="Times New Roman" w:hAnsi="Times New Roman" w:eastAsia="Times New Roman"/>
          <w:sz w:val="28"/>
          <w:szCs w:val="28"/>
        </w:rPr>
      </w:r>
      <w:r>
        <w:rPr>
          <w:rFonts w:ascii="Times New Roman" w:hAnsi="Times New Roman" w:eastAsia="Times New Roman"/>
          <w:sz w:val="28"/>
          <w:szCs w:val="28"/>
        </w:rPr>
      </w:r>
    </w:p>
    <w:p>
      <w:pPr>
        <w:pStyle w:val="861"/>
        <w:ind w:firstLine="0"/>
        <w:jc w:val="both"/>
        <w:spacing w:line="240" w:lineRule="exact"/>
        <w:suppressLineNumbers w:val="0"/>
      </w:pPr>
      <w:r>
        <w:t xml:space="preserve">Председатель </w:t>
      </w:r>
      <w:r/>
    </w:p>
    <w:p>
      <w:pPr>
        <w:pStyle w:val="861"/>
        <w:ind w:firstLine="0"/>
        <w:jc w:val="both"/>
        <w:spacing w:line="240" w:lineRule="exact"/>
        <w:suppressLineNumbers w:val="0"/>
      </w:pPr>
      <w:r>
        <w:t xml:space="preserve">Ставропольской городской Думы</w:t>
        <w:tab/>
        <w:tab/>
        <w:tab/>
        <w:tab/>
        <w:tab/>
        <w:t xml:space="preserve">  </w:t>
      </w:r>
      <w:r>
        <w:t xml:space="preserve"> </w:t>
      </w:r>
      <w:r>
        <w:t xml:space="preserve">        Г.С.Колягин</w:t>
      </w:r>
      <w:r/>
    </w:p>
    <w:p>
      <w:pPr>
        <w:pStyle w:val="861"/>
        <w:ind w:firstLine="709"/>
        <w:jc w:val="both"/>
        <w:suppressLineNumbers w:val="0"/>
      </w:pPr>
      <w:r/>
      <w:r/>
    </w:p>
    <w:p>
      <w:pPr>
        <w:pStyle w:val="861"/>
        <w:ind w:firstLine="709"/>
        <w:jc w:val="both"/>
        <w:suppressLineNumbers w:val="0"/>
      </w:pPr>
      <w:r>
        <w:rPr>
          <w:lang w:val="en-US"/>
        </w:rPr>
      </w:r>
      <w:r/>
    </w:p>
    <w:p>
      <w:pPr>
        <w:pStyle w:val="861"/>
        <w:ind w:firstLine="709"/>
        <w:jc w:val="both"/>
        <w:suppressLineNumbers w:val="0"/>
      </w:pPr>
      <w:r/>
      <w:r/>
    </w:p>
    <w:p>
      <w:pPr>
        <w:pStyle w:val="852"/>
        <w:ind w:firstLine="0"/>
        <w:jc w:val="both"/>
        <w:spacing w:after="0" w:line="240" w:lineRule="exact"/>
        <w:outlineLvl w:val="2"/>
        <w:suppressLineNumbers w:val="0"/>
      </w:pPr>
      <w:r>
        <w:rPr>
          <w:rStyle w:val="860"/>
          <w:sz w:val="28"/>
          <w:szCs w:val="28"/>
        </w:rPr>
        <w:t xml:space="preserve">Глава города Ставрополя   </w:t>
      </w:r>
      <w:r>
        <w:rPr>
          <w:rStyle w:val="860"/>
          <w:sz w:val="28"/>
          <w:szCs w:val="28"/>
        </w:rPr>
        <w:t xml:space="preserve">                                                 </w:t>
      </w:r>
      <w:r>
        <w:rPr>
          <w:rStyle w:val="860"/>
          <w:sz w:val="28"/>
          <w:szCs w:val="28"/>
        </w:rPr>
        <w:t xml:space="preserve"> </w:t>
      </w:r>
      <w:r>
        <w:rPr>
          <w:rStyle w:val="860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lang w:eastAsia="ru-RU"/>
        </w:rPr>
        <w:t xml:space="preserve">И.И.Ульянченко</w:t>
      </w:r>
      <w:r/>
    </w:p>
    <w:p>
      <w:pPr>
        <w:pStyle w:val="861"/>
        <w:ind w:firstLine="709"/>
        <w:jc w:val="both"/>
        <w:suppressLineNumbers w:val="0"/>
      </w:pPr>
      <w:r/>
      <w:r/>
    </w:p>
    <w:p>
      <w:pPr>
        <w:pStyle w:val="861"/>
        <w:ind w:firstLine="709"/>
        <w:jc w:val="both"/>
        <w:suppressLineNumbers w:val="0"/>
      </w:pPr>
      <w:r/>
      <w:r/>
    </w:p>
    <w:p>
      <w:pPr>
        <w:pStyle w:val="861"/>
        <w:ind w:firstLine="0"/>
        <w:jc w:val="both"/>
        <w:suppressLineNumbers w:val="0"/>
      </w:pPr>
      <w:r>
        <w:t xml:space="preserve">Подписано __ __________ 20</w:t>
      </w:r>
      <w:r>
        <w:t xml:space="preserve">26</w:t>
      </w:r>
      <w:r>
        <w:t xml:space="preserve"> г.</w:t>
      </w:r>
      <w:r/>
    </w:p>
    <w:sectPr>
      <w:headerReference w:type="default" r:id="rId9"/>
      <w:footnotePr/>
      <w:endnotePr/>
      <w:type w:val="nextPage"/>
      <w:pgSz w:w="11906" w:h="16838" w:orient="portrait"/>
      <w:pgMar w:top="1134" w:right="567" w:bottom="1134" w:left="1985" w:header="720" w:footer="720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62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 xml:space="preserve">2</w:t>
    </w:r>
    <w:r>
      <w:fldChar w:fldCharType="end"/>
    </w:r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7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74">
    <w:name w:val="Heading 1"/>
    <w:basedOn w:val="852"/>
    <w:next w:val="852"/>
    <w:link w:val="67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75">
    <w:name w:val="Heading 1 Char"/>
    <w:link w:val="674"/>
    <w:uiPriority w:val="9"/>
    <w:rPr>
      <w:rFonts w:ascii="Arial" w:hAnsi="Arial" w:eastAsia="Arial" w:cs="Arial"/>
      <w:sz w:val="40"/>
      <w:szCs w:val="40"/>
    </w:rPr>
  </w:style>
  <w:style w:type="paragraph" w:styleId="676">
    <w:name w:val="Heading 2"/>
    <w:basedOn w:val="852"/>
    <w:next w:val="852"/>
    <w:link w:val="67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77">
    <w:name w:val="Heading 2 Char"/>
    <w:link w:val="676"/>
    <w:uiPriority w:val="9"/>
    <w:rPr>
      <w:rFonts w:ascii="Arial" w:hAnsi="Arial" w:eastAsia="Arial" w:cs="Arial"/>
      <w:sz w:val="34"/>
    </w:rPr>
  </w:style>
  <w:style w:type="paragraph" w:styleId="678">
    <w:name w:val="Heading 3"/>
    <w:basedOn w:val="852"/>
    <w:next w:val="852"/>
    <w:link w:val="67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79">
    <w:name w:val="Heading 3 Char"/>
    <w:link w:val="678"/>
    <w:uiPriority w:val="9"/>
    <w:rPr>
      <w:rFonts w:ascii="Arial" w:hAnsi="Arial" w:eastAsia="Arial" w:cs="Arial"/>
      <w:sz w:val="30"/>
      <w:szCs w:val="30"/>
    </w:rPr>
  </w:style>
  <w:style w:type="paragraph" w:styleId="680">
    <w:name w:val="Heading 4"/>
    <w:basedOn w:val="852"/>
    <w:next w:val="852"/>
    <w:link w:val="68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81">
    <w:name w:val="Heading 4 Char"/>
    <w:link w:val="680"/>
    <w:uiPriority w:val="9"/>
    <w:rPr>
      <w:rFonts w:ascii="Arial" w:hAnsi="Arial" w:eastAsia="Arial" w:cs="Arial"/>
      <w:b/>
      <w:bCs/>
      <w:sz w:val="26"/>
      <w:szCs w:val="26"/>
    </w:rPr>
  </w:style>
  <w:style w:type="paragraph" w:styleId="682">
    <w:name w:val="Heading 5"/>
    <w:basedOn w:val="852"/>
    <w:next w:val="852"/>
    <w:link w:val="68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83">
    <w:name w:val="Heading 5 Char"/>
    <w:link w:val="682"/>
    <w:uiPriority w:val="9"/>
    <w:rPr>
      <w:rFonts w:ascii="Arial" w:hAnsi="Arial" w:eastAsia="Arial" w:cs="Arial"/>
      <w:b/>
      <w:bCs/>
      <w:sz w:val="24"/>
      <w:szCs w:val="24"/>
    </w:rPr>
  </w:style>
  <w:style w:type="paragraph" w:styleId="684">
    <w:name w:val="Heading 6"/>
    <w:basedOn w:val="852"/>
    <w:next w:val="852"/>
    <w:link w:val="68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85">
    <w:name w:val="Heading 6 Char"/>
    <w:link w:val="684"/>
    <w:uiPriority w:val="9"/>
    <w:rPr>
      <w:rFonts w:ascii="Arial" w:hAnsi="Arial" w:eastAsia="Arial" w:cs="Arial"/>
      <w:b/>
      <w:bCs/>
      <w:sz w:val="22"/>
      <w:szCs w:val="22"/>
    </w:rPr>
  </w:style>
  <w:style w:type="paragraph" w:styleId="686">
    <w:name w:val="Heading 7"/>
    <w:basedOn w:val="852"/>
    <w:next w:val="852"/>
    <w:link w:val="68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87">
    <w:name w:val="Heading 7 Char"/>
    <w:link w:val="68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88">
    <w:name w:val="Heading 8"/>
    <w:basedOn w:val="852"/>
    <w:next w:val="852"/>
    <w:link w:val="68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89">
    <w:name w:val="Heading 8 Char"/>
    <w:link w:val="688"/>
    <w:uiPriority w:val="9"/>
    <w:rPr>
      <w:rFonts w:ascii="Arial" w:hAnsi="Arial" w:eastAsia="Arial" w:cs="Arial"/>
      <w:i/>
      <w:iCs/>
      <w:sz w:val="22"/>
      <w:szCs w:val="22"/>
    </w:rPr>
  </w:style>
  <w:style w:type="paragraph" w:styleId="690">
    <w:name w:val="Heading 9"/>
    <w:basedOn w:val="852"/>
    <w:next w:val="852"/>
    <w:link w:val="69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91">
    <w:name w:val="Heading 9 Char"/>
    <w:link w:val="690"/>
    <w:uiPriority w:val="9"/>
    <w:rPr>
      <w:rFonts w:ascii="Arial" w:hAnsi="Arial" w:eastAsia="Arial" w:cs="Arial"/>
      <w:i/>
      <w:iCs/>
      <w:sz w:val="21"/>
      <w:szCs w:val="21"/>
    </w:rPr>
  </w:style>
  <w:style w:type="paragraph" w:styleId="692">
    <w:name w:val="List Paragraph"/>
    <w:basedOn w:val="852"/>
    <w:uiPriority w:val="34"/>
    <w:qFormat/>
    <w:pPr>
      <w:contextualSpacing/>
      <w:ind w:left="720"/>
    </w:pPr>
  </w:style>
  <w:style w:type="paragraph" w:styleId="693">
    <w:name w:val="No Spacing"/>
    <w:uiPriority w:val="1"/>
    <w:qFormat/>
    <w:pPr>
      <w:spacing w:before="0" w:after="0" w:line="240" w:lineRule="auto"/>
    </w:pPr>
  </w:style>
  <w:style w:type="paragraph" w:styleId="694">
    <w:name w:val="Title"/>
    <w:basedOn w:val="852"/>
    <w:next w:val="852"/>
    <w:link w:val="69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95">
    <w:name w:val="Title Char"/>
    <w:link w:val="694"/>
    <w:uiPriority w:val="10"/>
    <w:rPr>
      <w:sz w:val="48"/>
      <w:szCs w:val="48"/>
    </w:rPr>
  </w:style>
  <w:style w:type="paragraph" w:styleId="696">
    <w:name w:val="Subtitle"/>
    <w:basedOn w:val="852"/>
    <w:next w:val="852"/>
    <w:link w:val="697"/>
    <w:uiPriority w:val="11"/>
    <w:qFormat/>
    <w:pPr>
      <w:spacing w:before="200" w:after="200"/>
    </w:pPr>
    <w:rPr>
      <w:sz w:val="24"/>
      <w:szCs w:val="24"/>
    </w:rPr>
  </w:style>
  <w:style w:type="character" w:styleId="697">
    <w:name w:val="Subtitle Char"/>
    <w:link w:val="696"/>
    <w:uiPriority w:val="11"/>
    <w:rPr>
      <w:sz w:val="24"/>
      <w:szCs w:val="24"/>
    </w:rPr>
  </w:style>
  <w:style w:type="paragraph" w:styleId="698">
    <w:name w:val="Quote"/>
    <w:basedOn w:val="852"/>
    <w:next w:val="852"/>
    <w:link w:val="699"/>
    <w:uiPriority w:val="29"/>
    <w:qFormat/>
    <w:pPr>
      <w:ind w:left="720" w:right="720"/>
    </w:pPr>
    <w:rPr>
      <w:i/>
    </w:rPr>
  </w:style>
  <w:style w:type="character" w:styleId="699">
    <w:name w:val="Quote Char"/>
    <w:link w:val="698"/>
    <w:uiPriority w:val="29"/>
    <w:rPr>
      <w:i/>
    </w:rPr>
  </w:style>
  <w:style w:type="paragraph" w:styleId="700">
    <w:name w:val="Intense Quote"/>
    <w:basedOn w:val="852"/>
    <w:next w:val="852"/>
    <w:link w:val="70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01">
    <w:name w:val="Intense Quote Char"/>
    <w:link w:val="700"/>
    <w:uiPriority w:val="30"/>
    <w:rPr>
      <w:i/>
    </w:rPr>
  </w:style>
  <w:style w:type="paragraph" w:styleId="702">
    <w:name w:val="Header"/>
    <w:basedOn w:val="852"/>
    <w:link w:val="70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3">
    <w:name w:val="Header Char"/>
    <w:link w:val="702"/>
    <w:uiPriority w:val="99"/>
  </w:style>
  <w:style w:type="paragraph" w:styleId="704">
    <w:name w:val="Footer"/>
    <w:basedOn w:val="852"/>
    <w:link w:val="70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05">
    <w:name w:val="Footer Char"/>
    <w:link w:val="704"/>
    <w:uiPriority w:val="99"/>
  </w:style>
  <w:style w:type="paragraph" w:styleId="706">
    <w:name w:val="Caption"/>
    <w:basedOn w:val="852"/>
    <w:next w:val="852"/>
    <w:link w:val="707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07">
    <w:name w:val="Caption Char"/>
    <w:basedOn w:val="706"/>
    <w:link w:val="704"/>
    <w:uiPriority w:val="99"/>
  </w:style>
  <w:style w:type="table" w:styleId="708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09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10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1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12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13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4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15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6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7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8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19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0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1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22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37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38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39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40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41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42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43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44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45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46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47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48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49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50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51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52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53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54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55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6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57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72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73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74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75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76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77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78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7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8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9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0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1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2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3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4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5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6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7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8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99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00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01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02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03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04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05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06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07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08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09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10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11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12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13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14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15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6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7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8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9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0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21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22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23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24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25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26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27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28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29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30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31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32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33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34">
    <w:name w:val="Hyperlink"/>
    <w:uiPriority w:val="99"/>
    <w:unhideWhenUsed/>
    <w:rPr>
      <w:color w:val="0000ff" w:themeColor="hyperlink"/>
      <w:u w:val="single"/>
    </w:rPr>
  </w:style>
  <w:style w:type="paragraph" w:styleId="835">
    <w:name w:val="footnote text"/>
    <w:basedOn w:val="852"/>
    <w:link w:val="836"/>
    <w:uiPriority w:val="99"/>
    <w:semiHidden/>
    <w:unhideWhenUsed/>
    <w:pPr>
      <w:spacing w:after="40" w:line="240" w:lineRule="auto"/>
    </w:pPr>
    <w:rPr>
      <w:sz w:val="18"/>
    </w:rPr>
  </w:style>
  <w:style w:type="character" w:styleId="836">
    <w:name w:val="Footnote Text Char"/>
    <w:link w:val="835"/>
    <w:uiPriority w:val="99"/>
    <w:rPr>
      <w:sz w:val="18"/>
    </w:rPr>
  </w:style>
  <w:style w:type="character" w:styleId="837">
    <w:name w:val="footnote reference"/>
    <w:uiPriority w:val="99"/>
    <w:unhideWhenUsed/>
    <w:rPr>
      <w:vertAlign w:val="superscript"/>
    </w:rPr>
  </w:style>
  <w:style w:type="paragraph" w:styleId="838">
    <w:name w:val="endnote text"/>
    <w:basedOn w:val="852"/>
    <w:link w:val="839"/>
    <w:uiPriority w:val="99"/>
    <w:semiHidden/>
    <w:unhideWhenUsed/>
    <w:pPr>
      <w:spacing w:after="0" w:line="240" w:lineRule="auto"/>
    </w:pPr>
    <w:rPr>
      <w:sz w:val="20"/>
    </w:rPr>
  </w:style>
  <w:style w:type="character" w:styleId="839">
    <w:name w:val="Endnote Text Char"/>
    <w:link w:val="838"/>
    <w:uiPriority w:val="99"/>
    <w:rPr>
      <w:sz w:val="20"/>
    </w:rPr>
  </w:style>
  <w:style w:type="character" w:styleId="840">
    <w:name w:val="endnote reference"/>
    <w:uiPriority w:val="99"/>
    <w:semiHidden/>
    <w:unhideWhenUsed/>
    <w:rPr>
      <w:vertAlign w:val="superscript"/>
    </w:rPr>
  </w:style>
  <w:style w:type="paragraph" w:styleId="841">
    <w:name w:val="toc 1"/>
    <w:basedOn w:val="852"/>
    <w:next w:val="852"/>
    <w:uiPriority w:val="39"/>
    <w:unhideWhenUsed/>
    <w:pPr>
      <w:ind w:left="0" w:right="0" w:firstLine="0"/>
      <w:spacing w:after="57"/>
    </w:pPr>
  </w:style>
  <w:style w:type="paragraph" w:styleId="842">
    <w:name w:val="toc 2"/>
    <w:basedOn w:val="852"/>
    <w:next w:val="852"/>
    <w:uiPriority w:val="39"/>
    <w:unhideWhenUsed/>
    <w:pPr>
      <w:ind w:left="283" w:right="0" w:firstLine="0"/>
      <w:spacing w:after="57"/>
    </w:pPr>
  </w:style>
  <w:style w:type="paragraph" w:styleId="843">
    <w:name w:val="toc 3"/>
    <w:basedOn w:val="852"/>
    <w:next w:val="852"/>
    <w:uiPriority w:val="39"/>
    <w:unhideWhenUsed/>
    <w:pPr>
      <w:ind w:left="567" w:right="0" w:firstLine="0"/>
      <w:spacing w:after="57"/>
    </w:pPr>
  </w:style>
  <w:style w:type="paragraph" w:styleId="844">
    <w:name w:val="toc 4"/>
    <w:basedOn w:val="852"/>
    <w:next w:val="852"/>
    <w:uiPriority w:val="39"/>
    <w:unhideWhenUsed/>
    <w:pPr>
      <w:ind w:left="850" w:right="0" w:firstLine="0"/>
      <w:spacing w:after="57"/>
    </w:pPr>
  </w:style>
  <w:style w:type="paragraph" w:styleId="845">
    <w:name w:val="toc 5"/>
    <w:basedOn w:val="852"/>
    <w:next w:val="852"/>
    <w:uiPriority w:val="39"/>
    <w:unhideWhenUsed/>
    <w:pPr>
      <w:ind w:left="1134" w:right="0" w:firstLine="0"/>
      <w:spacing w:after="57"/>
    </w:pPr>
  </w:style>
  <w:style w:type="paragraph" w:styleId="846">
    <w:name w:val="toc 6"/>
    <w:basedOn w:val="852"/>
    <w:next w:val="852"/>
    <w:uiPriority w:val="39"/>
    <w:unhideWhenUsed/>
    <w:pPr>
      <w:ind w:left="1417" w:right="0" w:firstLine="0"/>
      <w:spacing w:after="57"/>
    </w:pPr>
  </w:style>
  <w:style w:type="paragraph" w:styleId="847">
    <w:name w:val="toc 7"/>
    <w:basedOn w:val="852"/>
    <w:next w:val="852"/>
    <w:uiPriority w:val="39"/>
    <w:unhideWhenUsed/>
    <w:pPr>
      <w:ind w:left="1701" w:right="0" w:firstLine="0"/>
      <w:spacing w:after="57"/>
    </w:pPr>
  </w:style>
  <w:style w:type="paragraph" w:styleId="848">
    <w:name w:val="toc 8"/>
    <w:basedOn w:val="852"/>
    <w:next w:val="852"/>
    <w:uiPriority w:val="39"/>
    <w:unhideWhenUsed/>
    <w:pPr>
      <w:ind w:left="1984" w:right="0" w:firstLine="0"/>
      <w:spacing w:after="57"/>
    </w:pPr>
  </w:style>
  <w:style w:type="paragraph" w:styleId="849">
    <w:name w:val="toc 9"/>
    <w:basedOn w:val="852"/>
    <w:next w:val="852"/>
    <w:uiPriority w:val="39"/>
    <w:unhideWhenUsed/>
    <w:pPr>
      <w:ind w:left="2268" w:right="0" w:firstLine="0"/>
      <w:spacing w:after="57"/>
    </w:pPr>
  </w:style>
  <w:style w:type="paragraph" w:styleId="850">
    <w:name w:val="TOC Heading"/>
    <w:uiPriority w:val="39"/>
    <w:unhideWhenUsed/>
  </w:style>
  <w:style w:type="paragraph" w:styleId="851">
    <w:name w:val="table of figures"/>
    <w:basedOn w:val="852"/>
    <w:next w:val="852"/>
    <w:uiPriority w:val="99"/>
    <w:unhideWhenUsed/>
    <w:pPr>
      <w:spacing w:after="0" w:afterAutospacing="0"/>
    </w:pPr>
  </w:style>
  <w:style w:type="paragraph" w:styleId="852" w:default="1">
    <w:name w:val="Normal"/>
    <w:next w:val="852"/>
    <w:link w:val="852"/>
    <w:qFormat/>
    <w:pPr>
      <w:spacing w:after="200" w:line="276" w:lineRule="auto"/>
    </w:pPr>
    <w:rPr>
      <w:rFonts w:ascii="Calibri" w:hAnsi="Calibri" w:eastAsia="Calibri"/>
      <w:sz w:val="22"/>
      <w:szCs w:val="22"/>
      <w:lang w:val="ru-RU" w:eastAsia="en-US" w:bidi="ar-SA"/>
    </w:rPr>
  </w:style>
  <w:style w:type="character" w:styleId="853">
    <w:name w:val="Основной шрифт абзаца"/>
    <w:next w:val="853"/>
    <w:link w:val="852"/>
    <w:semiHidden/>
  </w:style>
  <w:style w:type="table" w:styleId="854">
    <w:name w:val="Обычная таблица"/>
    <w:next w:val="854"/>
    <w:link w:val="852"/>
    <w:semiHidden/>
    <w:tblPr/>
  </w:style>
  <w:style w:type="numbering" w:styleId="855">
    <w:name w:val="Нет списка"/>
    <w:next w:val="855"/>
    <w:link w:val="852"/>
    <w:semiHidden/>
  </w:style>
  <w:style w:type="paragraph" w:styleId="856">
    <w:name w:val="ConsNormal"/>
    <w:next w:val="856"/>
    <w:link w:val="852"/>
    <w:pPr>
      <w:ind w:firstLine="720"/>
      <w:widowControl w:val="off"/>
    </w:pPr>
    <w:rPr>
      <w:rFonts w:ascii="Arial" w:hAnsi="Arial" w:cs="Arial"/>
      <w:lang w:val="ru-RU" w:eastAsia="ru-RU" w:bidi="ar-SA"/>
    </w:rPr>
  </w:style>
  <w:style w:type="paragraph" w:styleId="857">
    <w:name w:val="ConsTitle"/>
    <w:next w:val="857"/>
    <w:link w:val="852"/>
    <w:pPr>
      <w:widowControl w:val="off"/>
    </w:pPr>
    <w:rPr>
      <w:rFonts w:ascii="Arial" w:hAnsi="Arial" w:cs="Arial"/>
      <w:b/>
      <w:bCs/>
      <w:sz w:val="16"/>
      <w:szCs w:val="16"/>
      <w:lang w:val="ru-RU" w:eastAsia="ru-RU" w:bidi="ar-SA"/>
    </w:rPr>
  </w:style>
  <w:style w:type="paragraph" w:styleId="858">
    <w:name w:val="ConsPlusTitle"/>
    <w:next w:val="858"/>
    <w:link w:val="852"/>
    <w:rPr>
      <w:rFonts w:ascii="Calibri" w:hAnsi="Calibri" w:eastAsia="Calibri" w:cs="Calibri"/>
      <w:b/>
      <w:bCs/>
      <w:sz w:val="22"/>
      <w:szCs w:val="22"/>
      <w:lang w:val="ru-RU" w:eastAsia="en-US" w:bidi="ar-SA"/>
    </w:rPr>
  </w:style>
  <w:style w:type="paragraph" w:styleId="859">
    <w:name w:val="Текст выноски"/>
    <w:basedOn w:val="852"/>
    <w:next w:val="859"/>
    <w:link w:val="852"/>
    <w:semiHidden/>
    <w:rPr>
      <w:rFonts w:ascii="Tahoma" w:hAnsi="Tahoma" w:cs="Tahoma"/>
      <w:sz w:val="16"/>
      <w:szCs w:val="16"/>
    </w:rPr>
  </w:style>
  <w:style w:type="character" w:styleId="860">
    <w:name w:val="Font Style11"/>
    <w:next w:val="860"/>
    <w:link w:val="852"/>
    <w:uiPriority w:val="99"/>
    <w:rPr>
      <w:rFonts w:ascii="Times New Roman" w:hAnsi="Times New Roman" w:cs="Times New Roman"/>
      <w:sz w:val="26"/>
      <w:szCs w:val="26"/>
    </w:rPr>
  </w:style>
  <w:style w:type="paragraph" w:styleId="861">
    <w:name w:val="ConsPlusNormal"/>
    <w:next w:val="861"/>
    <w:link w:val="852"/>
    <w:rPr>
      <w:sz w:val="28"/>
      <w:szCs w:val="28"/>
      <w:lang w:val="ru-RU" w:eastAsia="ru-RU" w:bidi="ar-SA"/>
    </w:rPr>
  </w:style>
  <w:style w:type="paragraph" w:styleId="862">
    <w:name w:val="Верхний колонтитул"/>
    <w:basedOn w:val="852"/>
    <w:next w:val="862"/>
    <w:link w:val="863"/>
    <w:uiPriority w:val="99"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863">
    <w:name w:val="Верхний колонтитул Знак"/>
    <w:next w:val="863"/>
    <w:link w:val="862"/>
    <w:uiPriority w:val="99"/>
    <w:rPr>
      <w:rFonts w:ascii="Calibri" w:hAnsi="Calibri" w:eastAsia="Calibri"/>
      <w:sz w:val="22"/>
      <w:szCs w:val="22"/>
      <w:lang w:eastAsia="en-US"/>
    </w:rPr>
  </w:style>
  <w:style w:type="paragraph" w:styleId="864">
    <w:name w:val="Нижний колонтитул"/>
    <w:basedOn w:val="852"/>
    <w:next w:val="864"/>
    <w:link w:val="865"/>
    <w:pPr>
      <w:tabs>
        <w:tab w:val="center" w:pos="4677" w:leader="none"/>
        <w:tab w:val="right" w:pos="9355" w:leader="none"/>
      </w:tabs>
    </w:pPr>
    <w:rPr>
      <w:lang w:val="en-US"/>
    </w:rPr>
  </w:style>
  <w:style w:type="character" w:styleId="865">
    <w:name w:val="Нижний колонтитул Знак"/>
    <w:next w:val="865"/>
    <w:link w:val="864"/>
    <w:rPr>
      <w:rFonts w:ascii="Calibri" w:hAnsi="Calibri" w:eastAsia="Calibri"/>
      <w:sz w:val="22"/>
      <w:szCs w:val="22"/>
      <w:lang w:eastAsia="en-US"/>
    </w:rPr>
  </w:style>
  <w:style w:type="character" w:styleId="866">
    <w:name w:val="Гиперссылка"/>
    <w:next w:val="866"/>
    <w:link w:val="852"/>
    <w:rPr>
      <w:color w:val="0563c1"/>
      <w:u w:val="single"/>
    </w:rPr>
  </w:style>
  <w:style w:type="character" w:styleId="867">
    <w:name w:val="Неразрешенное упоминание"/>
    <w:next w:val="867"/>
    <w:link w:val="852"/>
    <w:uiPriority w:val="99"/>
    <w:semiHidden/>
    <w:unhideWhenUsed/>
    <w:rPr>
      <w:color w:val="605e5c"/>
      <w:shd w:val="clear" w:color="auto" w:fill="e1dfdd"/>
    </w:rPr>
  </w:style>
  <w:style w:type="paragraph" w:styleId="868">
    <w:name w:val="Обычный (Интернет)"/>
    <w:basedOn w:val="852"/>
    <w:next w:val="868"/>
    <w:link w:val="852"/>
    <w:rPr>
      <w:rFonts w:ascii="Times New Roman" w:hAnsi="Times New Roman"/>
      <w:sz w:val="24"/>
      <w:szCs w:val="24"/>
    </w:rPr>
  </w:style>
  <w:style w:type="paragraph" w:styleId="869">
    <w:name w:val="Текст концевой сноски"/>
    <w:basedOn w:val="852"/>
    <w:next w:val="869"/>
    <w:link w:val="870"/>
    <w:rPr>
      <w:sz w:val="20"/>
      <w:szCs w:val="20"/>
    </w:rPr>
  </w:style>
  <w:style w:type="character" w:styleId="870">
    <w:name w:val="Текст концевой сноски Знак"/>
    <w:next w:val="870"/>
    <w:link w:val="869"/>
    <w:rPr>
      <w:rFonts w:ascii="Calibri" w:hAnsi="Calibri" w:eastAsia="Calibri"/>
      <w:lang w:eastAsia="en-US"/>
    </w:rPr>
  </w:style>
  <w:style w:type="character" w:styleId="871">
    <w:name w:val="Знак концевой сноски"/>
    <w:next w:val="871"/>
    <w:link w:val="852"/>
    <w:rPr>
      <w:vertAlign w:val="superscript"/>
    </w:rPr>
  </w:style>
  <w:style w:type="character" w:styleId="872" w:default="1">
    <w:name w:val="Default Paragraph Font"/>
    <w:uiPriority w:val="1"/>
    <w:semiHidden/>
    <w:unhideWhenUsed/>
  </w:style>
  <w:style w:type="numbering" w:styleId="873" w:default="1">
    <w:name w:val="No List"/>
    <w:uiPriority w:val="99"/>
    <w:semiHidden/>
    <w:unhideWhenUsed/>
  </w:style>
  <w:style w:type="table" w:styleId="874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Р7-Офис/2024.4.2.691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СГД</dc:creator>
  <cp:lastModifiedBy>user</cp:lastModifiedBy>
  <cp:revision>89</cp:revision>
  <dcterms:created xsi:type="dcterms:W3CDTF">2017-01-18T13:03:00Z</dcterms:created>
  <dcterms:modified xsi:type="dcterms:W3CDTF">2026-09-16T09:07:10Z</dcterms:modified>
  <cp:version>1048576</cp:version>
</cp:coreProperties>
</file>